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D9D98" w14:textId="17B4B59B"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E54B70" w:rsidRPr="008F786B">
        <w:rPr>
          <w:rFonts w:ascii="Arial" w:eastAsia="SimSun" w:hAnsi="Arial" w:cs="Times New Roman"/>
          <w:b/>
          <w:sz w:val="24"/>
          <w:szCs w:val="20"/>
        </w:rPr>
        <w:t>3</w:t>
      </w:r>
      <w:r w:rsidRPr="008F786B">
        <w:rPr>
          <w:rFonts w:ascii="Arial" w:eastAsia="SimSun" w:hAnsi="Arial" w:cs="Times New Roman"/>
          <w:b/>
          <w:bCs/>
          <w:sz w:val="24"/>
          <w:szCs w:val="20"/>
        </w:rPr>
        <w:tab/>
      </w:r>
      <w:r w:rsidR="00BD604D" w:rsidRPr="00BD604D">
        <w:rPr>
          <w:rFonts w:ascii="Arial" w:eastAsia="SimSun" w:hAnsi="Arial" w:cs="Times New Roman"/>
          <w:b/>
          <w:bCs/>
          <w:sz w:val="24"/>
          <w:szCs w:val="20"/>
          <w:lang w:eastAsia="ja-JP"/>
        </w:rPr>
        <w:t>R4-2501488</w:t>
      </w:r>
    </w:p>
    <w:bookmarkEnd w:id="0"/>
    <w:bookmarkEnd w:id="1"/>
    <w:p w14:paraId="6453C64E" w14:textId="77777777" w:rsidR="00B26A8A" w:rsidRPr="00B26A8A" w:rsidRDefault="00B26A8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B26A8A">
        <w:rPr>
          <w:rFonts w:ascii="Arial" w:eastAsia="SimSun" w:hAnsi="Arial" w:cs="Times New Roman"/>
          <w:b/>
          <w:sz w:val="24"/>
          <w:szCs w:val="20"/>
        </w:rPr>
        <w:t>Athens, Greece, Feb 17th – Feb 21st, 2025</w:t>
      </w:r>
    </w:p>
    <w:p w14:paraId="7CEB825D"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1F5166E"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26A627C" w14:textId="29274E80"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59043F">
        <w:rPr>
          <w:rFonts w:ascii="Arial" w:eastAsia="Calibri" w:hAnsi="Arial" w:cs="Arial"/>
          <w:b/>
          <w:bCs/>
          <w:sz w:val="24"/>
        </w:rPr>
        <w:t xml:space="preserve">The impact of the </w:t>
      </w:r>
      <w:r w:rsidR="00484CBA">
        <w:rPr>
          <w:rFonts w:ascii="Arial" w:eastAsia="Calibri" w:hAnsi="Arial" w:cs="Arial"/>
          <w:b/>
          <w:bCs/>
          <w:sz w:val="24"/>
        </w:rPr>
        <w:t xml:space="preserve">NTN </w:t>
      </w:r>
      <w:r w:rsidR="0059043F">
        <w:rPr>
          <w:rFonts w:ascii="Arial" w:eastAsia="Calibri" w:hAnsi="Arial" w:cs="Arial"/>
          <w:b/>
          <w:bCs/>
          <w:sz w:val="24"/>
        </w:rPr>
        <w:t>IOT TDD Periodic Pattern on RRM requirements</w:t>
      </w:r>
    </w:p>
    <w:p w14:paraId="265117E0" w14:textId="496C85A3"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834C8E">
        <w:rPr>
          <w:rFonts w:ascii="Arial" w:eastAsia="MS Mincho" w:hAnsi="Arial" w:cs="Arial"/>
          <w:b/>
          <w:bCs/>
          <w:sz w:val="24"/>
          <w:szCs w:val="20"/>
        </w:rPr>
        <w:t>7.31.5</w:t>
      </w:r>
    </w:p>
    <w:p w14:paraId="100DA446"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7663D83C" w14:textId="77777777" w:rsidR="00E323E9" w:rsidRPr="008F786B" w:rsidRDefault="00E323E9" w:rsidP="00841BCD">
      <w:pPr>
        <w:tabs>
          <w:tab w:val="left" w:pos="1985"/>
        </w:tabs>
        <w:rPr>
          <w:rFonts w:ascii="Arial" w:eastAsia="Calibri" w:hAnsi="Arial" w:cs="Arial"/>
          <w:b/>
          <w:bCs/>
          <w:sz w:val="24"/>
        </w:rPr>
      </w:pPr>
    </w:p>
    <w:p w14:paraId="6F6B689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45C8966F" w14:textId="130ABD38" w:rsidR="003904C6" w:rsidRDefault="003904C6" w:rsidP="003904C6">
      <w:r>
        <w:t>In the plenary meeting RAN #105, a new WI for Rel-19 was approved to introduce a TDD frame operation for NTN</w:t>
      </w:r>
      <w:r w:rsidR="007F448E">
        <w:t xml:space="preserve"> </w:t>
      </w:r>
      <w:r w:rsidR="007F448E">
        <w:fldChar w:fldCharType="begin"/>
      </w:r>
      <w:r w:rsidR="007F448E">
        <w:instrText xml:space="preserve"> REF _Ref189739749 \r \h </w:instrText>
      </w:r>
      <w:r w:rsidR="007F448E">
        <w:fldChar w:fldCharType="separate"/>
      </w:r>
      <w:r w:rsidR="007F448E">
        <w:t>[1]</w:t>
      </w:r>
      <w:r w:rsidR="007F448E">
        <w:fldChar w:fldCharType="end"/>
      </w:r>
      <w:r>
        <w:t xml:space="preserve">. The work item is designed to provide extended support of 3GPP NB-IoT features leveraging existing satellite systems deployed in Non-Geostationary Satellite Orbit (NGSO). It also aims at enabling low-complexity payloads for satellite operations that are non-reliant on a diplexer. </w:t>
      </w:r>
    </w:p>
    <w:p w14:paraId="069826D3" w14:textId="5BB1CA38" w:rsidR="007E4668" w:rsidRDefault="003904C6" w:rsidP="003904C6">
      <w:r>
        <w:t>To achieve the aforementioned goals, the WID was designed to introduce an NTN-compatible TDD frame, that while based on minimum necessary changes on the NB-IoT NTN FDD specification provides a new approach to TDD periodicity.</w:t>
      </w:r>
      <w:r w:rsidR="007F448E">
        <w:t xml:space="preserve">  RAN4 has analysed the potential impacts of such frame and provided their view on </w:t>
      </w:r>
      <w:r w:rsidR="007F448E">
        <w:fldChar w:fldCharType="begin"/>
      </w:r>
      <w:r w:rsidR="007F448E">
        <w:instrText xml:space="preserve"> REF _Ref189740025 \r \h </w:instrText>
      </w:r>
      <w:r w:rsidR="007F448E">
        <w:fldChar w:fldCharType="separate"/>
      </w:r>
      <w:r w:rsidR="007F448E">
        <w:t>[2]</w:t>
      </w:r>
      <w:r w:rsidR="007F448E">
        <w:fldChar w:fldCharType="end"/>
      </w:r>
      <w:r w:rsidR="007F448E">
        <w:t>.</w:t>
      </w:r>
    </w:p>
    <w:p w14:paraId="3F1F9711" w14:textId="1090DB76" w:rsidR="007F448E" w:rsidRPr="008F786B" w:rsidRDefault="007F448E" w:rsidP="003904C6">
      <w:r>
        <w:t xml:space="preserve">In the plenary meeting RAN #106, the WID was updated to provide the objectives for RAN4 based on identified challenges </w:t>
      </w:r>
      <w:r w:rsidR="009A2422">
        <w:fldChar w:fldCharType="begin"/>
      </w:r>
      <w:r w:rsidR="009A2422">
        <w:instrText xml:space="preserve"> REF _Ref189740478 \r \h </w:instrText>
      </w:r>
      <w:r w:rsidR="009A2422">
        <w:fldChar w:fldCharType="separate"/>
      </w:r>
      <w:r w:rsidR="009A2422">
        <w:t>[3]</w:t>
      </w:r>
      <w:r w:rsidR="009A2422">
        <w:fldChar w:fldCharType="end"/>
      </w:r>
      <w:r w:rsidR="009A2422">
        <w:t xml:space="preserve">. In this document we discuss the potential RRM impacts. </w:t>
      </w:r>
    </w:p>
    <w:p w14:paraId="2252E9D7" w14:textId="77777777" w:rsidR="0060543D" w:rsidRPr="008F786B" w:rsidRDefault="0060543D" w:rsidP="005C23A4"/>
    <w:p w14:paraId="279C5CF9" w14:textId="0E19F4F1" w:rsidR="00B66B7D" w:rsidRDefault="003B659E" w:rsidP="00B66B7D">
      <w:pPr>
        <w:pStyle w:val="RAN4H1"/>
      </w:pPr>
      <w:bookmarkStart w:id="4" w:name="_Toc116995842"/>
      <w:r w:rsidRPr="008F786B">
        <w:t>Discussion</w:t>
      </w:r>
      <w:bookmarkEnd w:id="4"/>
    </w:p>
    <w:p w14:paraId="05709B65" w14:textId="5C1B16A5" w:rsidR="009A2422" w:rsidRDefault="009A2422" w:rsidP="009A2422">
      <w:r>
        <w:t xml:space="preserve">In RAN4 #113, when the group of companies debated the new frame structure being proposed as part of the IOT_NTN_TDD Work Item, several potential impacts for RAN4 requirements were identified related to RF, RRM and </w:t>
      </w:r>
      <w:proofErr w:type="spellStart"/>
      <w:r>
        <w:t>Demod</w:t>
      </w:r>
      <w:proofErr w:type="spellEnd"/>
      <w:r>
        <w:t xml:space="preserve"> aspects.  In this document we will focus our analysis on the RRM impacts. Currently the identified issues, according to </w:t>
      </w:r>
      <w:r>
        <w:fldChar w:fldCharType="begin"/>
      </w:r>
      <w:r>
        <w:instrText xml:space="preserve"> REF _Ref189740025 \r \h </w:instrText>
      </w:r>
      <w:r>
        <w:fldChar w:fldCharType="separate"/>
      </w:r>
      <w:r>
        <w:t>[2]</w:t>
      </w:r>
      <w:r>
        <w:fldChar w:fldCharType="end"/>
      </w:r>
      <w:r>
        <w:t xml:space="preserve"> are:</w:t>
      </w:r>
    </w:p>
    <w:p w14:paraId="1232AA47" w14:textId="77777777" w:rsidR="009A2422" w:rsidRPr="009A2422" w:rsidRDefault="009A2422" w:rsidP="009A2422">
      <w:pPr>
        <w:numPr>
          <w:ilvl w:val="1"/>
          <w:numId w:val="32"/>
        </w:numPr>
        <w:spacing w:after="0" w:line="240" w:lineRule="auto"/>
      </w:pPr>
      <w:r w:rsidRPr="009A2422">
        <w:t>RLM (example modifications include hypothetical NPDCCH configuration, extended evaluation period, side conditions, etc.)</w:t>
      </w:r>
    </w:p>
    <w:p w14:paraId="3CBB2F13" w14:textId="77777777" w:rsidR="009A2422" w:rsidRPr="009A2422" w:rsidRDefault="009A2422" w:rsidP="009A2422">
      <w:pPr>
        <w:numPr>
          <w:ilvl w:val="1"/>
          <w:numId w:val="32"/>
        </w:numPr>
        <w:spacing w:after="0" w:line="240" w:lineRule="auto"/>
      </w:pPr>
      <w:r w:rsidRPr="009A2422">
        <w:t>MSG3-based channel quality report (example modifications include hypothetical NPDCCH configuration, extended evaluation period, side conditions, etc.)</w:t>
      </w:r>
    </w:p>
    <w:p w14:paraId="7409B81A" w14:textId="77777777" w:rsidR="009A2422" w:rsidRPr="009A2422" w:rsidRDefault="009A2422" w:rsidP="009A2422">
      <w:pPr>
        <w:numPr>
          <w:ilvl w:val="1"/>
          <w:numId w:val="32"/>
        </w:numPr>
        <w:spacing w:after="0" w:line="240" w:lineRule="auto"/>
      </w:pPr>
      <w:r w:rsidRPr="009A2422">
        <w:t>Cell re-selection (example modifications include extended cell detection/evaluation/measurement periods, side conditions, etc.)</w:t>
      </w:r>
    </w:p>
    <w:p w14:paraId="33E8B33C" w14:textId="77777777" w:rsidR="009A2422" w:rsidRPr="009A2422" w:rsidRDefault="009A2422" w:rsidP="009A2422">
      <w:pPr>
        <w:numPr>
          <w:ilvl w:val="1"/>
          <w:numId w:val="32"/>
        </w:numPr>
        <w:spacing w:after="0" w:line="240" w:lineRule="auto"/>
      </w:pPr>
      <w:r w:rsidRPr="009A2422">
        <w:t>RRC Re-establishment (example modifications include extended cell detection/measurement periods, side conditions, etc.)</w:t>
      </w:r>
    </w:p>
    <w:p w14:paraId="0130CCF5" w14:textId="77777777" w:rsidR="009A2422" w:rsidRPr="009A2422" w:rsidRDefault="009A2422" w:rsidP="009A2422">
      <w:pPr>
        <w:numPr>
          <w:ilvl w:val="1"/>
          <w:numId w:val="32"/>
        </w:numPr>
        <w:spacing w:after="0" w:line="240" w:lineRule="auto"/>
      </w:pPr>
      <w:r w:rsidRPr="009A2422">
        <w:t>RRC Connection Redirection to Non-anchor Carrier (example modifications include updates to the definition of the symbols, side conditions, etc.)</w:t>
      </w:r>
    </w:p>
    <w:p w14:paraId="48338368" w14:textId="77777777" w:rsidR="009A2422" w:rsidRPr="009A2422" w:rsidRDefault="009A2422" w:rsidP="009A2422">
      <w:pPr>
        <w:numPr>
          <w:ilvl w:val="1"/>
          <w:numId w:val="32"/>
        </w:numPr>
        <w:spacing w:after="0" w:line="240" w:lineRule="auto"/>
      </w:pPr>
      <w:r w:rsidRPr="009A2422">
        <w:t>Cell measurements (example modifications include extended cell detection/measurement periods, side conditions, etc.)</w:t>
      </w:r>
    </w:p>
    <w:p w14:paraId="0EF35AD0" w14:textId="77777777" w:rsidR="009A2422" w:rsidRDefault="009A2422" w:rsidP="009A2422"/>
    <w:p w14:paraId="05FB2806" w14:textId="2DC92B70" w:rsidR="007E0E24" w:rsidRDefault="007E0E24" w:rsidP="009A2422">
      <w:r>
        <w:t xml:space="preserve">In this document we will provide our views in some of the requirements above. </w:t>
      </w:r>
    </w:p>
    <w:p w14:paraId="34A77DDF" w14:textId="66073DD3" w:rsidR="00307EE8" w:rsidRPr="009F07D8" w:rsidRDefault="003904C6" w:rsidP="005C7EFA">
      <w:pPr>
        <w:pStyle w:val="RAN4H2"/>
      </w:pPr>
      <w:r w:rsidRPr="009F07D8">
        <w:t>On the DRX Configurations and measurement related requirements</w:t>
      </w:r>
    </w:p>
    <w:p w14:paraId="451529CA" w14:textId="64D52FE3" w:rsidR="00715634" w:rsidRDefault="009A2422" w:rsidP="003904C6">
      <w:r w:rsidRPr="009F07D8">
        <w:t xml:space="preserve">Some of the issues identified above, </w:t>
      </w:r>
      <w:r w:rsidR="00715634" w:rsidRPr="009F07D8">
        <w:t xml:space="preserve">as seen from discussion papers provided by companies are related to </w:t>
      </w:r>
      <w:proofErr w:type="gramStart"/>
      <w:r w:rsidR="00715634" w:rsidRPr="009F07D8">
        <w:t>potential  impact</w:t>
      </w:r>
      <w:proofErr w:type="gramEnd"/>
      <w:r w:rsidR="00715634" w:rsidRPr="009F07D8">
        <w:t xml:space="preserve"> on DRX measurements caused by “unmatched” patterns of DRX Configuration and the N=9 frames cycle, </w:t>
      </w:r>
      <w:r w:rsidR="00715634" w:rsidRPr="009F07D8">
        <w:lastRenderedPageBreak/>
        <w:t xml:space="preserve">which creates periodicities that are non-multiple of each other. For example, for the case of cell evaluation for cell reselection, where DRX Cycles may have periodicities that are multiple of 320 ms, and therefore, non-multiple of 90 ms. This would indicate that the active part of the DRX Cycle slips slightly over time every cycle of N </w:t>
      </w:r>
      <w:proofErr w:type="gramStart"/>
      <w:r w:rsidR="00715634" w:rsidRPr="009F07D8">
        <w:t>frames, and</w:t>
      </w:r>
      <w:proofErr w:type="gramEnd"/>
      <w:r w:rsidR="00715634" w:rsidRPr="009F07D8">
        <w:t xml:space="preserve"> cannot be matched with the active time on this cell. </w:t>
      </w:r>
      <w:r w:rsidR="00243917">
        <w:t xml:space="preserve"> For example, there are potential changes on the HFN calculation, which might impact the frame counting:</w:t>
      </w:r>
    </w:p>
    <w:tbl>
      <w:tblPr>
        <w:tblStyle w:val="TableGrid"/>
        <w:tblW w:w="0" w:type="auto"/>
        <w:tblLook w:val="04A0" w:firstRow="1" w:lastRow="0" w:firstColumn="1" w:lastColumn="0" w:noHBand="0" w:noVBand="1"/>
      </w:tblPr>
      <w:tblGrid>
        <w:gridCol w:w="9617"/>
      </w:tblGrid>
      <w:tr w:rsidR="00243917" w14:paraId="6B4EB59C" w14:textId="77777777" w:rsidTr="00243917">
        <w:tc>
          <w:tcPr>
            <w:tcW w:w="9617" w:type="dxa"/>
          </w:tcPr>
          <w:p w14:paraId="3331A189" w14:textId="77777777" w:rsidR="00243917" w:rsidRPr="00243917" w:rsidRDefault="00243917" w:rsidP="00243917">
            <w:pPr>
              <w:rPr>
                <w:lang w:val="en-US"/>
              </w:rPr>
            </w:pPr>
            <w:r w:rsidRPr="00243917">
              <w:rPr>
                <w:lang w:val="en-US"/>
              </w:rPr>
              <w:t>The offset between the 90ms TDD structure and the 10240ms H-SFN is to be studied considering at least the following options:</w:t>
            </w:r>
          </w:p>
          <w:p w14:paraId="120ECEA7" w14:textId="77777777" w:rsidR="00243917" w:rsidRPr="00243917" w:rsidRDefault="00243917" w:rsidP="00243917">
            <w:pPr>
              <w:numPr>
                <w:ilvl w:val="0"/>
                <w:numId w:val="33"/>
              </w:numPr>
              <w:rPr>
                <w:lang w:val="en-US"/>
              </w:rPr>
            </w:pPr>
            <w:r w:rsidRPr="00243917">
              <w:rPr>
                <w:lang w:val="en-US"/>
              </w:rPr>
              <w:t>Option 1: Always the same across H-SFNs.</w:t>
            </w:r>
          </w:p>
          <w:p w14:paraId="5D1A93E4" w14:textId="77777777" w:rsidR="00243917" w:rsidRPr="00243917" w:rsidRDefault="00243917" w:rsidP="00243917">
            <w:pPr>
              <w:numPr>
                <w:ilvl w:val="1"/>
                <w:numId w:val="33"/>
              </w:numPr>
              <w:rPr>
                <w:lang w:val="en-US"/>
              </w:rPr>
            </w:pPr>
            <w:r w:rsidRPr="00243917">
              <w:rPr>
                <w:lang w:val="en-US"/>
              </w:rPr>
              <w:t>Option 1-1: H-SFN duration is changed to X radio frames, with X a multiple of 9.</w:t>
            </w:r>
          </w:p>
          <w:p w14:paraId="5FA866A5" w14:textId="77777777" w:rsidR="00243917" w:rsidRPr="00243917" w:rsidRDefault="00243917" w:rsidP="00243917">
            <w:pPr>
              <w:numPr>
                <w:ilvl w:val="1"/>
                <w:numId w:val="33"/>
              </w:numPr>
              <w:rPr>
                <w:lang w:val="en-US"/>
              </w:rPr>
            </w:pPr>
            <w:r w:rsidRPr="00243917">
              <w:rPr>
                <w:lang w:val="en-US"/>
              </w:rPr>
              <w:t>Option 1-2: H-SFN duration is unchanged</w:t>
            </w:r>
          </w:p>
          <w:p w14:paraId="5A76B975" w14:textId="77777777" w:rsidR="00243917" w:rsidRPr="00243917" w:rsidRDefault="00243917" w:rsidP="00243917">
            <w:pPr>
              <w:numPr>
                <w:ilvl w:val="0"/>
                <w:numId w:val="33"/>
              </w:numPr>
              <w:rPr>
                <w:lang w:val="en-US"/>
              </w:rPr>
            </w:pPr>
            <w:r w:rsidRPr="00243917">
              <w:rPr>
                <w:lang w:val="en-US"/>
              </w:rPr>
              <w:t>Option 2: Different across some H-SFNs.</w:t>
            </w:r>
          </w:p>
          <w:p w14:paraId="17B59E77" w14:textId="77777777" w:rsidR="00243917" w:rsidRPr="00243917" w:rsidRDefault="00243917" w:rsidP="00243917">
            <w:pPr>
              <w:numPr>
                <w:ilvl w:val="1"/>
                <w:numId w:val="33"/>
              </w:numPr>
              <w:rPr>
                <w:lang w:val="en-US"/>
              </w:rPr>
            </w:pPr>
            <w:r w:rsidRPr="00243917">
              <w:rPr>
                <w:lang w:val="en-US"/>
              </w:rPr>
              <w:t xml:space="preserve">Option 2-1: UE is indicated (implicitly or explicitly) the offset between H-SFN and 90ms TDD structure based on some downlink signal (e.g. one of NPSS/NSSS/NPBCH/SIB1-NB) </w:t>
            </w:r>
          </w:p>
          <w:p w14:paraId="2D8CF05B" w14:textId="77777777" w:rsidR="00243917" w:rsidRPr="00243917" w:rsidRDefault="00243917" w:rsidP="00243917">
            <w:pPr>
              <w:numPr>
                <w:ilvl w:val="1"/>
                <w:numId w:val="33"/>
              </w:numPr>
              <w:rPr>
                <w:lang w:val="en-US"/>
              </w:rPr>
            </w:pPr>
            <w:r w:rsidRPr="00243917">
              <w:rPr>
                <w:lang w:val="en-US"/>
              </w:rPr>
              <w:t>Option 2-2: Total number of H-SFN is changed to be a multiple of 9.</w:t>
            </w:r>
          </w:p>
          <w:p w14:paraId="6720AB0B" w14:textId="77777777" w:rsidR="00243917" w:rsidRPr="00243917" w:rsidRDefault="00243917" w:rsidP="003904C6">
            <w:pPr>
              <w:rPr>
                <w:lang w:val="en-US"/>
              </w:rPr>
            </w:pPr>
          </w:p>
        </w:tc>
      </w:tr>
    </w:tbl>
    <w:p w14:paraId="10A68952" w14:textId="77777777" w:rsidR="00243917" w:rsidRPr="009F07D8" w:rsidRDefault="00243917" w:rsidP="003904C6"/>
    <w:p w14:paraId="6172D6BD" w14:textId="733A65E2" w:rsidR="00715634" w:rsidRPr="009F07D8" w:rsidRDefault="00715634" w:rsidP="00715634">
      <w:pPr>
        <w:pStyle w:val="RAN4observation0"/>
      </w:pPr>
      <w:bookmarkStart w:id="5" w:name="_Toc189838959"/>
      <w:r w:rsidRPr="009F07D8">
        <w:t>The active part of the DRX Cycle will slide over time and in certain cases would correspond to the “non-active” part of the cell.</w:t>
      </w:r>
      <w:bookmarkEnd w:id="5"/>
    </w:p>
    <w:p w14:paraId="232E343B" w14:textId="54E62197" w:rsidR="00715634" w:rsidRPr="009F07D8" w:rsidRDefault="00715634" w:rsidP="003904C6">
      <w:r w:rsidRPr="009F07D8">
        <w:t xml:space="preserve">However, our understanding is that RAN1 is currently </w:t>
      </w:r>
      <w:commentRangeStart w:id="6"/>
      <w:r w:rsidRPr="009F07D8">
        <w:t xml:space="preserve">working in how to deal with such problems </w:t>
      </w:r>
      <w:commentRangeEnd w:id="6"/>
      <w:r w:rsidR="00EE5395">
        <w:rPr>
          <w:rStyle w:val="CommentReference"/>
        </w:rPr>
        <w:commentReference w:id="6"/>
      </w:r>
      <w:r w:rsidRPr="009F07D8">
        <w:t xml:space="preserve">and is likely to come up with solutions that align DRX cycles with monitoring of the cell. </w:t>
      </w:r>
    </w:p>
    <w:p w14:paraId="6975D65C" w14:textId="43903B94" w:rsidR="00715634" w:rsidRPr="009F07D8" w:rsidRDefault="00715634" w:rsidP="00715634">
      <w:pPr>
        <w:pStyle w:val="RAN4proposal"/>
      </w:pPr>
      <w:bookmarkStart w:id="7" w:name="_Toc189838960"/>
      <w:r w:rsidRPr="009F07D8">
        <w:t>For requirements related to the configuration of the DRX Cycle, wait for RAN1 conclusion on how to align the periodicity of the cycle with the cell transmit times.</w:t>
      </w:r>
      <w:bookmarkEnd w:id="7"/>
      <w:r w:rsidRPr="009F07D8">
        <w:t xml:space="preserve"> </w:t>
      </w:r>
    </w:p>
    <w:p w14:paraId="34BB00BE" w14:textId="61E6BC2F" w:rsidR="00715634" w:rsidRPr="009F07D8" w:rsidRDefault="00FD5118" w:rsidP="00715634">
      <w:r w:rsidRPr="009F07D8">
        <w:t xml:space="preserve">In the following subsections, the requirements are discussed assuming alignment between DRX Cycle and periodicity of the active period of the cell. </w:t>
      </w:r>
    </w:p>
    <w:p w14:paraId="18949D72" w14:textId="5717F823" w:rsidR="00307EE8" w:rsidRPr="009F07D8" w:rsidRDefault="00C05C45" w:rsidP="00307EE8">
      <w:pPr>
        <w:pStyle w:val="RAN4H2"/>
      </w:pPr>
      <w:r w:rsidRPr="009F07D8">
        <w:t>RLM Measurements</w:t>
      </w:r>
    </w:p>
    <w:p w14:paraId="256D34B2" w14:textId="019FE337" w:rsidR="00FD5118" w:rsidRPr="009F07D8" w:rsidRDefault="00FD5118" w:rsidP="00FD5118">
      <w:r w:rsidRPr="009F07D8">
        <w:t xml:space="preserve">The RLM measurement requirements for NB1 UEs connected over NTN is found in TS 38.133, clause 7.23A and are specified for two different scenarios, with DRX and non DRX Cycle configured. </w:t>
      </w:r>
    </w:p>
    <w:p w14:paraId="5151E5D5" w14:textId="77777777" w:rsidR="00566D67" w:rsidRPr="009F07D8" w:rsidRDefault="00FD5118" w:rsidP="00FD5118">
      <w:r w:rsidRPr="009F07D8">
        <w:t>The pre-conditions for RLM monitoring establish that requirements are applicable provided “</w:t>
      </w:r>
      <w:r w:rsidRPr="009F07D8">
        <w:rPr>
          <w:i/>
          <w:iCs/>
        </w:rPr>
        <w:t xml:space="preserve">at least 1 DL subframe per radio frame of serving NB-IoT cell is available at the UE during </w:t>
      </w:r>
      <w:proofErr w:type="spellStart"/>
      <w:r w:rsidRPr="009F07D8">
        <w:rPr>
          <w:i/>
          <w:iCs/>
        </w:rPr>
        <w:t>Q</w:t>
      </w:r>
      <w:r w:rsidRPr="009F07D8">
        <w:rPr>
          <w:i/>
          <w:iCs/>
          <w:vertAlign w:val="subscript"/>
        </w:rPr>
        <w:t>out_NB</w:t>
      </w:r>
      <w:proofErr w:type="spellEnd"/>
      <w:r w:rsidRPr="009F07D8">
        <w:rPr>
          <w:i/>
          <w:iCs/>
          <w:vertAlign w:val="subscript"/>
        </w:rPr>
        <w:t>-IoT</w:t>
      </w:r>
      <w:r w:rsidRPr="009F07D8">
        <w:rPr>
          <w:i/>
          <w:iCs/>
        </w:rPr>
        <w:t xml:space="preserve"> and </w:t>
      </w:r>
      <w:proofErr w:type="spellStart"/>
      <w:r w:rsidRPr="009F07D8">
        <w:rPr>
          <w:i/>
          <w:iCs/>
        </w:rPr>
        <w:t>Q</w:t>
      </w:r>
      <w:r w:rsidRPr="009F07D8">
        <w:rPr>
          <w:i/>
          <w:iCs/>
          <w:vertAlign w:val="subscript"/>
        </w:rPr>
        <w:t>in_NB</w:t>
      </w:r>
      <w:proofErr w:type="spellEnd"/>
      <w:r w:rsidRPr="009F07D8">
        <w:rPr>
          <w:i/>
          <w:iCs/>
          <w:vertAlign w:val="subscript"/>
        </w:rPr>
        <w:t>-IoT</w:t>
      </w:r>
      <w:r w:rsidRPr="009F07D8">
        <w:rPr>
          <w:i/>
          <w:iCs/>
        </w:rPr>
        <w:t xml:space="preserve"> evaluation periods”</w:t>
      </w:r>
      <w:r w:rsidRPr="009F07D8">
        <w:t xml:space="preserve">. This pre-condition does not seem to pose additional </w:t>
      </w:r>
      <w:r w:rsidR="00566D67" w:rsidRPr="009F07D8">
        <w:t xml:space="preserve">challenges for the IoT TDD operation, as currently there will be 8 DL subframes every 90 ms, and 90 ms is smaller than the evaluation periods mentioned above. </w:t>
      </w:r>
    </w:p>
    <w:p w14:paraId="478C7B38" w14:textId="222E91AA" w:rsidR="00566D67" w:rsidRPr="009F07D8" w:rsidRDefault="00566D67" w:rsidP="00566D67">
      <w:pPr>
        <w:pStyle w:val="RAN4observation0"/>
      </w:pPr>
      <w:bookmarkStart w:id="8" w:name="_Toc189838961"/>
      <w:r w:rsidRPr="009F07D8">
        <w:t>There will be at least one DL subframe available per evaluation period</w:t>
      </w:r>
      <w:r w:rsidR="00BD604D">
        <w:t>, but not per radio frame, as some of the radio frames will not be transmitted.</w:t>
      </w:r>
      <w:bookmarkEnd w:id="8"/>
      <w:r w:rsidR="00BD604D">
        <w:t xml:space="preserve"> </w:t>
      </w:r>
    </w:p>
    <w:p w14:paraId="41CD593D" w14:textId="77777777" w:rsidR="00566D67" w:rsidRPr="009F07D8" w:rsidRDefault="00566D67" w:rsidP="00566D67">
      <w:pPr>
        <w:pStyle w:val="RAN4observation0"/>
        <w:numPr>
          <w:ilvl w:val="0"/>
          <w:numId w:val="0"/>
        </w:numPr>
      </w:pPr>
    </w:p>
    <w:p w14:paraId="5EBCB231" w14:textId="625364CF" w:rsidR="00FD5118" w:rsidRPr="009F07D8" w:rsidRDefault="00566D67" w:rsidP="00566D67">
      <w:pPr>
        <w:pStyle w:val="RAN4observation0"/>
        <w:numPr>
          <w:ilvl w:val="0"/>
          <w:numId w:val="0"/>
        </w:numPr>
      </w:pPr>
      <w:bookmarkStart w:id="9" w:name="_Toc189838962"/>
      <w:r w:rsidRPr="009F07D8">
        <w:t>For the non-DRX case, the default values for the evaluation periods are provided by Table 7.23A.2.1-1 and reproduced below for convenience.</w:t>
      </w:r>
      <w:bookmarkEnd w:id="9"/>
      <w:r w:rsidRPr="009F07D8">
        <w:t xml:space="preserve"> </w:t>
      </w:r>
    </w:p>
    <w:tbl>
      <w:tblPr>
        <w:tblStyle w:val="TableGrid"/>
        <w:tblW w:w="0" w:type="auto"/>
        <w:tblLook w:val="04A0" w:firstRow="1" w:lastRow="0" w:firstColumn="1" w:lastColumn="0" w:noHBand="0" w:noVBand="1"/>
      </w:tblPr>
      <w:tblGrid>
        <w:gridCol w:w="9617"/>
      </w:tblGrid>
      <w:tr w:rsidR="00566D67" w:rsidRPr="009F07D8" w14:paraId="634AF574" w14:textId="77777777" w:rsidTr="00566D67">
        <w:tc>
          <w:tcPr>
            <w:tcW w:w="9617" w:type="dxa"/>
          </w:tcPr>
          <w:p w14:paraId="0C6553C5" w14:textId="77777777" w:rsidR="00566D67" w:rsidRPr="00566D67" w:rsidRDefault="00566D67" w:rsidP="00566D67">
            <w:pPr>
              <w:jc w:val="center"/>
              <w:rPr>
                <w:b/>
                <w:lang w:val="en-US"/>
              </w:rPr>
            </w:pPr>
            <w:r w:rsidRPr="00566D67">
              <w:rPr>
                <w:b/>
                <w:lang w:val="en-US"/>
              </w:rPr>
              <w:t xml:space="preserve">Table 7.23A.2.1-1 </w:t>
            </w:r>
            <w:proofErr w:type="spellStart"/>
            <w:r w:rsidRPr="00566D67">
              <w:rPr>
                <w:b/>
                <w:lang w:val="en-US"/>
              </w:rPr>
              <w:t>Q</w:t>
            </w:r>
            <w:r w:rsidRPr="00566D67">
              <w:rPr>
                <w:b/>
                <w:vertAlign w:val="subscript"/>
                <w:lang w:val="en-US"/>
              </w:rPr>
              <w:t>out</w:t>
            </w:r>
            <w:proofErr w:type="spellEnd"/>
            <w:r w:rsidRPr="00566D67">
              <w:rPr>
                <w:b/>
                <w:lang w:val="en-US"/>
              </w:rPr>
              <w:t xml:space="preserve"> and Q</w:t>
            </w:r>
            <w:r w:rsidRPr="00566D67">
              <w:rPr>
                <w:b/>
                <w:vertAlign w:val="subscript"/>
                <w:lang w:val="en-US"/>
              </w:rPr>
              <w:t>in</w:t>
            </w:r>
            <w:r w:rsidRPr="00566D67">
              <w:rPr>
                <w:b/>
                <w:lang w:val="en-US"/>
              </w:rPr>
              <w:t xml:space="preserve"> Evaluation Period in non-DRX for Category NB1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566D67" w:rsidRPr="00566D67" w14:paraId="032DB0A6" w14:textId="77777777" w:rsidTr="00566D67">
              <w:trPr>
                <w:jc w:val="center"/>
              </w:trPr>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264B7686" w14:textId="77777777" w:rsidR="00566D67" w:rsidRPr="00566D67" w:rsidRDefault="00566D67" w:rsidP="00566D67">
                  <w:pPr>
                    <w:spacing w:after="0" w:line="240" w:lineRule="auto"/>
                    <w:rPr>
                      <w:b/>
                      <w:lang w:val="en-US"/>
                    </w:rPr>
                  </w:pPr>
                  <w:r w:rsidRPr="00566D67">
                    <w:rPr>
                      <w:b/>
                      <w:lang w:val="en-US"/>
                    </w:rPr>
                    <w:t xml:space="preserve">Configured NPDCCH </w:t>
                  </w:r>
                  <w:proofErr w:type="spellStart"/>
                  <w:r w:rsidRPr="00566D67">
                    <w:rPr>
                      <w:b/>
                      <w:lang w:val="en-US"/>
                    </w:rPr>
                    <w:t>R</w:t>
                  </w:r>
                  <w:r w:rsidRPr="00566D67">
                    <w:rPr>
                      <w:b/>
                      <w:vertAlign w:val="subscript"/>
                      <w:lang w:val="en-US"/>
                    </w:rPr>
                    <w:t>max</w:t>
                  </w:r>
                  <w:proofErr w:type="spellEnd"/>
                </w:p>
              </w:tc>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380EB0DF" w14:textId="77777777" w:rsidR="00566D67" w:rsidRPr="00566D67" w:rsidRDefault="00566D67" w:rsidP="00566D67">
                  <w:pPr>
                    <w:spacing w:after="0" w:line="240" w:lineRule="auto"/>
                    <w:rPr>
                      <w:b/>
                      <w:lang w:val="en-US"/>
                    </w:rPr>
                  </w:pPr>
                  <w:proofErr w:type="spellStart"/>
                  <w:r w:rsidRPr="00566D67">
                    <w:rPr>
                      <w:b/>
                      <w:lang w:val="en-US"/>
                    </w:rPr>
                    <w:t>T</w:t>
                  </w:r>
                  <w:r w:rsidRPr="00566D67">
                    <w:rPr>
                      <w:b/>
                      <w:vertAlign w:val="subscript"/>
                      <w:lang w:val="en-US"/>
                    </w:rPr>
                    <w:t>Evaluate_</w:t>
                  </w:r>
                  <w:r w:rsidRPr="00566D67">
                    <w:rPr>
                      <w:b/>
                      <w:lang w:val="en-US"/>
                    </w:rPr>
                    <w:t>Q</w:t>
                  </w:r>
                  <w:r w:rsidRPr="00566D67">
                    <w:rPr>
                      <w:b/>
                      <w:vertAlign w:val="subscript"/>
                      <w:lang w:val="en-US"/>
                    </w:rPr>
                    <w:t>out_NB</w:t>
                  </w:r>
                  <w:proofErr w:type="spellEnd"/>
                  <w:r w:rsidRPr="00566D67">
                    <w:rPr>
                      <w:b/>
                      <w:vertAlign w:val="subscript"/>
                      <w:lang w:val="en-US"/>
                    </w:rPr>
                    <w:t>-IoT</w:t>
                  </w:r>
                </w:p>
              </w:tc>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26A42BB6" w14:textId="77777777" w:rsidR="00566D67" w:rsidRPr="00566D67" w:rsidRDefault="00566D67" w:rsidP="00566D67">
                  <w:pPr>
                    <w:spacing w:after="0" w:line="240" w:lineRule="auto"/>
                    <w:rPr>
                      <w:b/>
                      <w:lang w:val="en-US"/>
                    </w:rPr>
                  </w:pPr>
                  <w:proofErr w:type="spellStart"/>
                  <w:r w:rsidRPr="00566D67">
                    <w:rPr>
                      <w:b/>
                      <w:lang w:val="en-US"/>
                    </w:rPr>
                    <w:t>T</w:t>
                  </w:r>
                  <w:r w:rsidRPr="00566D67">
                    <w:rPr>
                      <w:b/>
                      <w:vertAlign w:val="subscript"/>
                      <w:lang w:val="en-US"/>
                    </w:rPr>
                    <w:t>Evaluate_</w:t>
                  </w:r>
                  <w:r w:rsidRPr="00566D67">
                    <w:rPr>
                      <w:b/>
                      <w:lang w:val="en-US"/>
                    </w:rPr>
                    <w:t>Q</w:t>
                  </w:r>
                  <w:r w:rsidRPr="00566D67">
                    <w:rPr>
                      <w:b/>
                      <w:vertAlign w:val="subscript"/>
                      <w:lang w:val="en-US"/>
                    </w:rPr>
                    <w:t>in_NB</w:t>
                  </w:r>
                  <w:proofErr w:type="spellEnd"/>
                  <w:r w:rsidRPr="00566D67">
                    <w:rPr>
                      <w:b/>
                      <w:vertAlign w:val="subscript"/>
                      <w:lang w:val="en-US"/>
                    </w:rPr>
                    <w:t>-IoT</w:t>
                  </w:r>
                </w:p>
              </w:tc>
            </w:tr>
            <w:tr w:rsidR="00566D67" w:rsidRPr="00566D67" w14:paraId="03133491" w14:textId="77777777" w:rsidTr="00566D67">
              <w:trPr>
                <w:jc w:val="center"/>
              </w:trPr>
              <w:tc>
                <w:tcPr>
                  <w:tcW w:w="1971" w:type="dxa"/>
                  <w:tcBorders>
                    <w:top w:val="single" w:sz="4" w:space="0" w:color="auto"/>
                    <w:left w:val="single" w:sz="4" w:space="0" w:color="auto"/>
                    <w:bottom w:val="single" w:sz="4" w:space="0" w:color="auto"/>
                    <w:right w:val="single" w:sz="4" w:space="0" w:color="auto"/>
                  </w:tcBorders>
                  <w:hideMark/>
                </w:tcPr>
                <w:p w14:paraId="0ADE8761" w14:textId="77777777" w:rsidR="00566D67" w:rsidRPr="00566D67" w:rsidRDefault="00566D67" w:rsidP="00566D67">
                  <w:pPr>
                    <w:spacing w:after="0" w:line="240" w:lineRule="auto"/>
                    <w:rPr>
                      <w:lang w:val="en-US"/>
                    </w:rPr>
                  </w:pPr>
                  <w:proofErr w:type="spellStart"/>
                  <w:r w:rsidRPr="00566D67">
                    <w:rPr>
                      <w:lang w:val="en-US"/>
                    </w:rPr>
                    <w:t>R</w:t>
                  </w:r>
                  <w:r w:rsidRPr="00566D67">
                    <w:rPr>
                      <w:vertAlign w:val="subscript"/>
                      <w:lang w:val="en-US"/>
                    </w:rPr>
                    <w:t>max</w:t>
                  </w:r>
                  <w:proofErr w:type="spellEnd"/>
                  <w:r w:rsidRPr="00566D67">
                    <w:rPr>
                      <w:lang w:val="en-US"/>
                    </w:rPr>
                    <w:t xml:space="preserve"> ≤ 64</w:t>
                  </w:r>
                </w:p>
              </w:tc>
              <w:tc>
                <w:tcPr>
                  <w:tcW w:w="1971" w:type="dxa"/>
                  <w:tcBorders>
                    <w:top w:val="single" w:sz="4" w:space="0" w:color="auto"/>
                    <w:left w:val="single" w:sz="4" w:space="0" w:color="auto"/>
                    <w:bottom w:val="single" w:sz="4" w:space="0" w:color="auto"/>
                    <w:right w:val="single" w:sz="4" w:space="0" w:color="auto"/>
                  </w:tcBorders>
                  <w:hideMark/>
                </w:tcPr>
                <w:p w14:paraId="15FC5B20" w14:textId="77777777" w:rsidR="00566D67" w:rsidRPr="00566D67" w:rsidRDefault="00566D67" w:rsidP="00566D67">
                  <w:pPr>
                    <w:spacing w:after="0" w:line="240" w:lineRule="auto"/>
                    <w:rPr>
                      <w:lang w:val="en-US"/>
                    </w:rPr>
                  </w:pPr>
                  <w:r w:rsidRPr="00566D67">
                    <w:rPr>
                      <w:lang w:val="en-US"/>
                    </w:rPr>
                    <w:t>400ms</w:t>
                  </w:r>
                </w:p>
              </w:tc>
              <w:tc>
                <w:tcPr>
                  <w:tcW w:w="1971" w:type="dxa"/>
                  <w:tcBorders>
                    <w:top w:val="single" w:sz="4" w:space="0" w:color="auto"/>
                    <w:left w:val="single" w:sz="4" w:space="0" w:color="auto"/>
                    <w:bottom w:val="single" w:sz="4" w:space="0" w:color="auto"/>
                    <w:right w:val="single" w:sz="4" w:space="0" w:color="auto"/>
                  </w:tcBorders>
                  <w:hideMark/>
                </w:tcPr>
                <w:p w14:paraId="0D409EA7" w14:textId="77777777" w:rsidR="00566D67" w:rsidRPr="00566D67" w:rsidRDefault="00566D67" w:rsidP="00566D67">
                  <w:pPr>
                    <w:spacing w:after="0" w:line="240" w:lineRule="auto"/>
                    <w:rPr>
                      <w:lang w:val="en-US"/>
                    </w:rPr>
                  </w:pPr>
                  <w:r w:rsidRPr="00566D67">
                    <w:rPr>
                      <w:lang w:val="en-US"/>
                    </w:rPr>
                    <w:t>200ms</w:t>
                  </w:r>
                </w:p>
              </w:tc>
            </w:tr>
            <w:tr w:rsidR="00566D67" w:rsidRPr="00566D67" w14:paraId="75A8284A" w14:textId="77777777" w:rsidTr="00566D67">
              <w:trPr>
                <w:jc w:val="center"/>
              </w:trPr>
              <w:tc>
                <w:tcPr>
                  <w:tcW w:w="1971" w:type="dxa"/>
                  <w:tcBorders>
                    <w:top w:val="single" w:sz="4" w:space="0" w:color="auto"/>
                    <w:left w:val="single" w:sz="4" w:space="0" w:color="auto"/>
                    <w:bottom w:val="single" w:sz="4" w:space="0" w:color="auto"/>
                    <w:right w:val="single" w:sz="4" w:space="0" w:color="auto"/>
                  </w:tcBorders>
                  <w:hideMark/>
                </w:tcPr>
                <w:p w14:paraId="12D449E0" w14:textId="77777777" w:rsidR="00566D67" w:rsidRPr="00566D67" w:rsidRDefault="00566D67" w:rsidP="00566D67">
                  <w:pPr>
                    <w:spacing w:after="0" w:line="240" w:lineRule="auto"/>
                    <w:rPr>
                      <w:lang w:val="en-US"/>
                    </w:rPr>
                  </w:pPr>
                  <w:proofErr w:type="spellStart"/>
                  <w:r w:rsidRPr="00566D67">
                    <w:rPr>
                      <w:lang w:val="en-US"/>
                    </w:rPr>
                    <w:t>R</w:t>
                  </w:r>
                  <w:r w:rsidRPr="00566D67">
                    <w:rPr>
                      <w:vertAlign w:val="subscript"/>
                      <w:lang w:val="en-US"/>
                    </w:rPr>
                    <w:t>max</w:t>
                  </w:r>
                  <w:proofErr w:type="spellEnd"/>
                  <w:r w:rsidRPr="00566D67">
                    <w:rPr>
                      <w:lang w:val="en-US"/>
                    </w:rPr>
                    <w:t>&gt; 64</w:t>
                  </w:r>
                </w:p>
              </w:tc>
              <w:tc>
                <w:tcPr>
                  <w:tcW w:w="1971" w:type="dxa"/>
                  <w:tcBorders>
                    <w:top w:val="single" w:sz="4" w:space="0" w:color="auto"/>
                    <w:left w:val="single" w:sz="4" w:space="0" w:color="auto"/>
                    <w:bottom w:val="single" w:sz="4" w:space="0" w:color="auto"/>
                    <w:right w:val="single" w:sz="4" w:space="0" w:color="auto"/>
                  </w:tcBorders>
                  <w:hideMark/>
                </w:tcPr>
                <w:p w14:paraId="7522D221" w14:textId="77777777" w:rsidR="00566D67" w:rsidRPr="00566D67" w:rsidRDefault="00566D67" w:rsidP="00566D67">
                  <w:pPr>
                    <w:spacing w:after="0" w:line="240" w:lineRule="auto"/>
                    <w:rPr>
                      <w:lang w:val="en-US"/>
                    </w:rPr>
                  </w:pPr>
                  <w:r w:rsidRPr="00566D67">
                    <w:rPr>
                      <w:lang w:val="en-US"/>
                    </w:rPr>
                    <w:t>4000ms</w:t>
                  </w:r>
                </w:p>
              </w:tc>
              <w:tc>
                <w:tcPr>
                  <w:tcW w:w="1971" w:type="dxa"/>
                  <w:tcBorders>
                    <w:top w:val="single" w:sz="4" w:space="0" w:color="auto"/>
                    <w:left w:val="single" w:sz="4" w:space="0" w:color="auto"/>
                    <w:bottom w:val="single" w:sz="4" w:space="0" w:color="auto"/>
                    <w:right w:val="single" w:sz="4" w:space="0" w:color="auto"/>
                  </w:tcBorders>
                  <w:hideMark/>
                </w:tcPr>
                <w:p w14:paraId="53E43A94" w14:textId="77777777" w:rsidR="00566D67" w:rsidRPr="00566D67" w:rsidRDefault="00566D67" w:rsidP="00566D67">
                  <w:pPr>
                    <w:spacing w:after="0" w:line="240" w:lineRule="auto"/>
                    <w:rPr>
                      <w:lang w:val="en-US"/>
                    </w:rPr>
                  </w:pPr>
                  <w:r w:rsidRPr="00566D67">
                    <w:rPr>
                      <w:lang w:val="en-US"/>
                    </w:rPr>
                    <w:t>2000ms</w:t>
                  </w:r>
                </w:p>
              </w:tc>
            </w:tr>
          </w:tbl>
          <w:p w14:paraId="4AE8E2A0" w14:textId="77777777" w:rsidR="00566D67" w:rsidRPr="009F07D8" w:rsidRDefault="00566D67" w:rsidP="00566D67"/>
        </w:tc>
      </w:tr>
    </w:tbl>
    <w:p w14:paraId="6E95B281" w14:textId="77777777" w:rsidR="00566D67" w:rsidRPr="009F07D8" w:rsidRDefault="00566D67" w:rsidP="00566D67"/>
    <w:p w14:paraId="326E49D1" w14:textId="40316F0C" w:rsidR="00BD604D" w:rsidRDefault="00566D67" w:rsidP="00566D67">
      <w:r w:rsidRPr="009F07D8">
        <w:t>It is first important to establish</w:t>
      </w:r>
      <w:r w:rsidR="00BD604D">
        <w:t xml:space="preserve"> whether the total number of repetitions might be as large as 64 (or more) even when the </w:t>
      </w:r>
      <w:r w:rsidRPr="009F07D8">
        <w:t>only blocks of 8 consecutive UL or DL subframes are expected</w:t>
      </w:r>
      <w:r w:rsidR="00BD604D">
        <w:t>.</w:t>
      </w:r>
      <w:r w:rsidRPr="009F07D8">
        <w:t xml:space="preserve"> </w:t>
      </w:r>
      <w:r w:rsidR="00243917">
        <w:t xml:space="preserve"> This subject is currently being investigated in RAN1 with the following way forward:</w:t>
      </w:r>
    </w:p>
    <w:tbl>
      <w:tblPr>
        <w:tblStyle w:val="TableGrid"/>
        <w:tblW w:w="0" w:type="auto"/>
        <w:tblLook w:val="04A0" w:firstRow="1" w:lastRow="0" w:firstColumn="1" w:lastColumn="0" w:noHBand="0" w:noVBand="1"/>
      </w:tblPr>
      <w:tblGrid>
        <w:gridCol w:w="9617"/>
      </w:tblGrid>
      <w:tr w:rsidR="00BD604D" w14:paraId="432A0117" w14:textId="77777777" w:rsidTr="00BD604D">
        <w:tc>
          <w:tcPr>
            <w:tcW w:w="9617" w:type="dxa"/>
          </w:tcPr>
          <w:p w14:paraId="4480363B" w14:textId="77777777" w:rsidR="00243917" w:rsidRPr="00243917" w:rsidRDefault="00243917" w:rsidP="00243917">
            <w:pPr>
              <w:rPr>
                <w:lang w:val="en-US"/>
              </w:rPr>
            </w:pPr>
            <w:r w:rsidRPr="00243917">
              <w:rPr>
                <w:lang w:val="en-US"/>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05AD3DE5" w14:textId="77777777" w:rsidR="00243917" w:rsidRPr="00243917" w:rsidRDefault="00243917" w:rsidP="00243917">
            <w:pPr>
              <w:numPr>
                <w:ilvl w:val="0"/>
                <w:numId w:val="34"/>
              </w:numPr>
              <w:rPr>
                <w:lang w:val="en-US"/>
              </w:rPr>
            </w:pPr>
            <w:r w:rsidRPr="00243917">
              <w:rPr>
                <w:lang w:val="en-US"/>
              </w:rPr>
              <w:t>New periodicities to align with the TDD structure.</w:t>
            </w:r>
          </w:p>
          <w:p w14:paraId="622C201A" w14:textId="77777777" w:rsidR="00243917" w:rsidRPr="00243917" w:rsidRDefault="00243917" w:rsidP="00243917">
            <w:pPr>
              <w:numPr>
                <w:ilvl w:val="0"/>
                <w:numId w:val="34"/>
              </w:numPr>
              <w:rPr>
                <w:lang w:val="en-US"/>
              </w:rPr>
            </w:pPr>
            <w:r w:rsidRPr="00243917">
              <w:rPr>
                <w:lang w:val="en-US"/>
              </w:rPr>
              <w:t>Postponement of a channel when it overlaps with non-D NB-IoT subframes.</w:t>
            </w:r>
          </w:p>
          <w:p w14:paraId="51D88233" w14:textId="77777777" w:rsidR="00243917" w:rsidRPr="00243917" w:rsidRDefault="00243917" w:rsidP="00243917">
            <w:pPr>
              <w:numPr>
                <w:ilvl w:val="0"/>
                <w:numId w:val="34"/>
              </w:numPr>
              <w:rPr>
                <w:lang w:val="en-US"/>
              </w:rPr>
            </w:pPr>
            <w:r w:rsidRPr="00243917">
              <w:rPr>
                <w:lang w:val="en-US"/>
              </w:rPr>
              <w:lastRenderedPageBreak/>
              <w:t xml:space="preserve">Restriction of a channel to be fully confined within a single set of </w:t>
            </w:r>
            <w:proofErr w:type="gramStart"/>
            <w:r w:rsidRPr="00243917">
              <w:rPr>
                <w:lang w:val="en-US"/>
              </w:rPr>
              <w:t>D</w:t>
            </w:r>
            <w:proofErr w:type="gramEnd"/>
            <w:r w:rsidRPr="00243917">
              <w:rPr>
                <w:lang w:val="en-US"/>
              </w:rPr>
              <w:t xml:space="preserve"> NB-IoT subframes.</w:t>
            </w:r>
          </w:p>
          <w:p w14:paraId="7A07C8EC" w14:textId="77777777" w:rsidR="00243917" w:rsidRPr="00243917" w:rsidRDefault="00243917" w:rsidP="00243917">
            <w:pPr>
              <w:numPr>
                <w:ilvl w:val="0"/>
                <w:numId w:val="34"/>
              </w:numPr>
              <w:rPr>
                <w:lang w:val="en-US"/>
              </w:rPr>
            </w:pPr>
            <w:r w:rsidRPr="00243917">
              <w:rPr>
                <w:lang w:val="en-US"/>
              </w:rPr>
              <w:t>Dropping (full or partial) of channels when they overlap with non-D NB-IoT subframes.</w:t>
            </w:r>
          </w:p>
          <w:p w14:paraId="17B4033E" w14:textId="77777777" w:rsidR="00243917" w:rsidRPr="00243917" w:rsidRDefault="00243917" w:rsidP="00243917">
            <w:pPr>
              <w:numPr>
                <w:ilvl w:val="0"/>
                <w:numId w:val="34"/>
              </w:numPr>
              <w:rPr>
                <w:lang w:val="en-US"/>
              </w:rPr>
            </w:pPr>
            <w:r w:rsidRPr="00243917">
              <w:rPr>
                <w:lang w:val="en-US"/>
              </w:rPr>
              <w:t>The non-D NB-IoT subframes are not “NB-IoT DL subframes” from the specifications</w:t>
            </w:r>
          </w:p>
          <w:p w14:paraId="6A0E56EF" w14:textId="77777777" w:rsidR="00BD604D" w:rsidRPr="00243917" w:rsidRDefault="00BD604D" w:rsidP="00566D67">
            <w:pPr>
              <w:rPr>
                <w:lang w:val="en-US"/>
              </w:rPr>
            </w:pPr>
          </w:p>
        </w:tc>
      </w:tr>
    </w:tbl>
    <w:p w14:paraId="7F5FBD04" w14:textId="77777777" w:rsidR="00BD604D" w:rsidRDefault="00BD604D" w:rsidP="00566D67"/>
    <w:p w14:paraId="15CF3D7E" w14:textId="293C20FF" w:rsidR="00566D67" w:rsidRPr="009F07D8" w:rsidRDefault="00243917" w:rsidP="00566D67">
      <w:r>
        <w:t>For the time being</w:t>
      </w:r>
      <w:r w:rsidR="00566D67" w:rsidRPr="009F07D8">
        <w:t xml:space="preserve">, values which consider R&gt;64 are currently out of scope of this analysis, which will focus on R </w:t>
      </w:r>
      <w:r w:rsidR="00566D67" w:rsidRPr="009F07D8">
        <w:rPr>
          <w:rFonts w:cs="Times New Roman"/>
        </w:rPr>
        <w:t>≤</w:t>
      </w:r>
      <w:r w:rsidR="00566D67" w:rsidRPr="009F07D8">
        <w:t xml:space="preserve"> 8. </w:t>
      </w:r>
    </w:p>
    <w:p w14:paraId="2C6D42F8" w14:textId="22E577E9" w:rsidR="009F07D8" w:rsidRDefault="00566D67" w:rsidP="00566D67">
      <w:r w:rsidRPr="009F07D8">
        <w:t>At every 90 ms, the UE will have an opportunity to measure DL subframes</w:t>
      </w:r>
      <w:r w:rsidR="009F07D8">
        <w:t xml:space="preserve">, which means that there will be at least 3 opportunities of Qin evaluation within the evaluation period, and 5 opportunities of </w:t>
      </w:r>
      <w:proofErr w:type="spellStart"/>
      <w:r w:rsidR="009F07D8">
        <w:t>Qout</w:t>
      </w:r>
      <w:proofErr w:type="spellEnd"/>
      <w:r w:rsidR="009F07D8">
        <w:t xml:space="preserve"> evaluation within the evaluation period. Therefore, in our assessment, is not necessary to update this requirement</w:t>
      </w:r>
      <w:r w:rsidR="00243917">
        <w:t xml:space="preserve">. </w:t>
      </w:r>
    </w:p>
    <w:p w14:paraId="24A66E22" w14:textId="751DEAFA" w:rsidR="00243917" w:rsidRDefault="00243917" w:rsidP="00566D67">
      <w:r>
        <w:t xml:space="preserve">On the other hand, it might be necessary to update this requirement depending on how RAN1 decides to handle the number of repetitions that exceed the available DL frame size. </w:t>
      </w:r>
    </w:p>
    <w:p w14:paraId="5C23E2E2" w14:textId="38FDF119" w:rsidR="009F07D8" w:rsidRDefault="009F07D8" w:rsidP="009F07D8">
      <w:pPr>
        <w:pStyle w:val="RAN4proposal"/>
      </w:pPr>
      <w:bookmarkStart w:id="10" w:name="_Toc189838963"/>
      <w:r>
        <w:t>Do not update the RLM requirements when DRX Cycle is not configured</w:t>
      </w:r>
      <w:r w:rsidR="00243917">
        <w:t>, unless RAN1 changes cause impact to this requirement.</w:t>
      </w:r>
      <w:bookmarkEnd w:id="10"/>
      <w:r w:rsidR="00243917">
        <w:t xml:space="preserve"> </w:t>
      </w:r>
    </w:p>
    <w:p w14:paraId="56A74FF5" w14:textId="6BEDCE4B" w:rsidR="009F07D8" w:rsidRDefault="009F07D8" w:rsidP="009F07D8">
      <w:r>
        <w:t xml:space="preserve">Likewise, for the case when the DRX Cycle is configured, the evaluation periods are configured as multiples of the DRX Cycle (5, 10 or 20, depending on the duration of the DRX Cycle). Assuming a minimum DRX Cycle of 256 ms, there will be several opportunities for UE measurements within the evaluation period. </w:t>
      </w:r>
    </w:p>
    <w:p w14:paraId="45C47598" w14:textId="41D4E9CC" w:rsidR="00566D67" w:rsidRPr="009F07D8" w:rsidRDefault="009F07D8" w:rsidP="00566D67">
      <w:pPr>
        <w:pStyle w:val="RAN4proposal"/>
      </w:pPr>
      <w:bookmarkStart w:id="11" w:name="_Toc189838964"/>
      <w:r>
        <w:t xml:space="preserve">For RLM requirements when DRX Cycle is configured, wait for RAN1 conclusions on </w:t>
      </w:r>
      <w:r w:rsidR="00132D8C">
        <w:t>whether DRX settings will be modified for IoT TDD.</w:t>
      </w:r>
      <w:bookmarkEnd w:id="11"/>
      <w:r w:rsidR="00132D8C">
        <w:t xml:space="preserve"> </w:t>
      </w:r>
      <w:r w:rsidR="009304F4">
        <w:t xml:space="preserve"> </w:t>
      </w:r>
    </w:p>
    <w:p w14:paraId="59E1B500" w14:textId="77777777" w:rsidR="007E0E24" w:rsidRPr="007E0E24" w:rsidRDefault="007E0E24" w:rsidP="007E0E24"/>
    <w:p w14:paraId="29600B82" w14:textId="4B2D4F57" w:rsidR="00FD5118" w:rsidRDefault="00FD5118" w:rsidP="00FD5118">
      <w:pPr>
        <w:pStyle w:val="RAN4H2"/>
      </w:pPr>
      <w:r w:rsidRPr="009F07D8">
        <w:t>RRC Connection redirection</w:t>
      </w:r>
      <w:r w:rsidR="007E0E24">
        <w:t xml:space="preserve"> to Non-Anchor Carrier. </w:t>
      </w:r>
    </w:p>
    <w:p w14:paraId="32729CF5" w14:textId="22B9C3BD" w:rsidR="007E0E24" w:rsidRDefault="007E0E24" w:rsidP="007E0E24">
      <w:r>
        <w:t xml:space="preserve">The requirements for RRC Connection Redirection to Non-Anchor Carrier establish the maximum delay in time for the UE to complete the transition (RRC Redirection) to the Non-Anchor Carrier upon receiving the </w:t>
      </w:r>
      <w:r w:rsidR="00B33226">
        <w:t xml:space="preserve">reconfiguration indication through the IE </w:t>
      </w:r>
      <w:r w:rsidR="00B33226" w:rsidRPr="00B33226">
        <w:t>“</w:t>
      </w:r>
      <w:proofErr w:type="spellStart"/>
      <w:r w:rsidR="00B33226" w:rsidRPr="00B33226">
        <w:rPr>
          <w:i/>
        </w:rPr>
        <w:t>CarrierConfigDedicated</w:t>
      </w:r>
      <w:proofErr w:type="spellEnd"/>
      <w:r w:rsidR="00B33226" w:rsidRPr="00B33226">
        <w:rPr>
          <w:i/>
        </w:rPr>
        <w:t>-NB</w:t>
      </w:r>
      <w:r w:rsidR="00B33226" w:rsidRPr="00B33226">
        <w:t>”</w:t>
      </w:r>
      <w:r w:rsidR="00B33226">
        <w:t>.  This delay depends on several components, as described below:</w:t>
      </w:r>
    </w:p>
    <w:tbl>
      <w:tblPr>
        <w:tblStyle w:val="TableGrid"/>
        <w:tblW w:w="0" w:type="auto"/>
        <w:tblLook w:val="04A0" w:firstRow="1" w:lastRow="0" w:firstColumn="1" w:lastColumn="0" w:noHBand="0" w:noVBand="1"/>
      </w:tblPr>
      <w:tblGrid>
        <w:gridCol w:w="9617"/>
      </w:tblGrid>
      <w:tr w:rsidR="00B33226" w14:paraId="4D550396" w14:textId="77777777" w:rsidTr="008B2813">
        <w:tc>
          <w:tcPr>
            <w:tcW w:w="9617" w:type="dxa"/>
          </w:tcPr>
          <w:p w14:paraId="35D14666" w14:textId="77777777" w:rsidR="00B33226" w:rsidRPr="00C538FF" w:rsidRDefault="00B33226" w:rsidP="008B2813">
            <w:pPr>
              <w:rPr>
                <w:lang w:val="en-US"/>
              </w:rPr>
            </w:pPr>
            <w:r w:rsidRPr="00C538FF">
              <w:rPr>
                <w:lang w:val="en-US"/>
              </w:rPr>
              <w:t>6.9A.2</w:t>
            </w:r>
            <w:r w:rsidRPr="00C538FF">
              <w:rPr>
                <w:lang w:val="en-US"/>
              </w:rPr>
              <w:tab/>
              <w:t>Requirements</w:t>
            </w:r>
          </w:p>
          <w:p w14:paraId="3886765F" w14:textId="77777777" w:rsidR="00B33226" w:rsidRPr="00C538FF" w:rsidRDefault="00B33226" w:rsidP="008B2813">
            <w:pPr>
              <w:rPr>
                <w:lang w:val="en-US"/>
              </w:rPr>
            </w:pPr>
            <w:r w:rsidRPr="00C538FF">
              <w:rPr>
                <w:lang w:val="en-US"/>
              </w:rPr>
              <w:t xml:space="preserve">The UE shall be capable of performing the RRC connection redirection to the non-anchor carrier within </w:t>
            </w:r>
            <w:proofErr w:type="spellStart"/>
            <w:r w:rsidRPr="00C538FF">
              <w:rPr>
                <w:lang w:val="en-US"/>
              </w:rPr>
              <w:t>T</w:t>
            </w:r>
            <w:r w:rsidRPr="00C538FF">
              <w:rPr>
                <w:vertAlign w:val="subscript"/>
                <w:lang w:val="en-US"/>
              </w:rPr>
              <w:t>connection_redirect_non</w:t>
            </w:r>
            <w:proofErr w:type="spellEnd"/>
            <w:r w:rsidRPr="00C538FF">
              <w:rPr>
                <w:vertAlign w:val="subscript"/>
                <w:lang w:val="en-US"/>
              </w:rPr>
              <w:t>-anchor</w:t>
            </w:r>
            <w:r w:rsidRPr="00C538FF">
              <w:rPr>
                <w:lang w:val="en-US"/>
              </w:rPr>
              <w:t>.</w:t>
            </w:r>
          </w:p>
          <w:p w14:paraId="1977E0A6" w14:textId="77777777" w:rsidR="00B33226" w:rsidRPr="00C538FF" w:rsidRDefault="00B33226" w:rsidP="008B2813">
            <w:pPr>
              <w:rPr>
                <w:lang w:val="en-US"/>
              </w:rPr>
            </w:pPr>
            <w:r w:rsidRPr="00C538FF">
              <w:rPr>
                <w:lang w:val="en-US"/>
              </w:rPr>
              <w:t>The time delay (</w:t>
            </w:r>
            <w:proofErr w:type="spellStart"/>
            <w:r w:rsidRPr="00C538FF">
              <w:rPr>
                <w:lang w:val="en-US"/>
              </w:rPr>
              <w:t>T</w:t>
            </w:r>
            <w:r w:rsidRPr="00C538FF">
              <w:rPr>
                <w:vertAlign w:val="subscript"/>
                <w:lang w:val="en-US"/>
              </w:rPr>
              <w:t>connection_redirect_non</w:t>
            </w:r>
            <w:proofErr w:type="spellEnd"/>
            <w:r w:rsidRPr="00C538FF">
              <w:rPr>
                <w:vertAlign w:val="subscript"/>
                <w:lang w:val="en-US"/>
              </w:rPr>
              <w:t>-anchor</w:t>
            </w:r>
            <w:r w:rsidRPr="00C538FF">
              <w:rPr>
                <w:lang w:val="en-US"/>
              </w:rPr>
              <w:t>) is the time between the end of the last subframe in the repetition period of NPDSCH containing the IE, “</w:t>
            </w:r>
            <w:proofErr w:type="spellStart"/>
            <w:r w:rsidRPr="00C538FF">
              <w:rPr>
                <w:i/>
                <w:lang w:val="en-US"/>
              </w:rPr>
              <w:t>CarrierConfigDedicated</w:t>
            </w:r>
            <w:proofErr w:type="spellEnd"/>
            <w:r w:rsidRPr="00C538FF">
              <w:rPr>
                <w:i/>
                <w:lang w:val="en-US"/>
              </w:rPr>
              <w:t>-NB</w:t>
            </w:r>
            <w:r w:rsidRPr="00C538FF">
              <w:rPr>
                <w:lang w:val="en-US"/>
              </w:rPr>
              <w:t>” received on the anchor carrier and the end of the last subframe in the repetition period of NPUSCH transmitted on the target non-anchor carrier. The time delay (</w:t>
            </w:r>
            <w:proofErr w:type="spellStart"/>
            <w:r w:rsidRPr="00C538FF">
              <w:rPr>
                <w:lang w:val="en-US"/>
              </w:rPr>
              <w:t>T</w:t>
            </w:r>
            <w:r w:rsidRPr="00C538FF">
              <w:rPr>
                <w:vertAlign w:val="subscript"/>
                <w:lang w:val="en-US"/>
              </w:rPr>
              <w:t>connection_redirect_non</w:t>
            </w:r>
            <w:proofErr w:type="spellEnd"/>
            <w:r w:rsidRPr="00C538FF">
              <w:rPr>
                <w:vertAlign w:val="subscript"/>
                <w:lang w:val="en-US"/>
              </w:rPr>
              <w:t>-anchor</w:t>
            </w:r>
            <w:r w:rsidRPr="00C538FF">
              <w:rPr>
                <w:lang w:val="en-US"/>
              </w:rPr>
              <w:t>) shall be less than:</w:t>
            </w:r>
          </w:p>
          <w:p w14:paraId="26F1F462" w14:textId="77777777" w:rsidR="00B33226" w:rsidRPr="00C538FF" w:rsidRDefault="00B33226" w:rsidP="008B2813">
            <w:pPr>
              <w:rPr>
                <w:vertAlign w:val="subscript"/>
                <w:lang w:val="en-US"/>
              </w:rPr>
            </w:pPr>
            <w:r w:rsidRPr="00C538FF">
              <w:rPr>
                <w:lang w:val="en-US"/>
              </w:rPr>
              <w:tab/>
            </w:r>
            <w:proofErr w:type="spellStart"/>
            <w:r w:rsidRPr="00C538FF">
              <w:rPr>
                <w:lang w:val="en-US"/>
              </w:rPr>
              <w:t>T</w:t>
            </w:r>
            <w:r w:rsidRPr="00C538FF">
              <w:rPr>
                <w:vertAlign w:val="subscript"/>
                <w:lang w:val="en-US"/>
              </w:rPr>
              <w:t>connection_redirect_non</w:t>
            </w:r>
            <w:proofErr w:type="spellEnd"/>
            <w:r w:rsidRPr="00C538FF">
              <w:rPr>
                <w:vertAlign w:val="subscript"/>
                <w:lang w:val="en-US"/>
              </w:rPr>
              <w:t>-anchor</w:t>
            </w:r>
            <w:r w:rsidRPr="00C538FF">
              <w:rPr>
                <w:lang w:val="en-US"/>
              </w:rPr>
              <w:t xml:space="preserve"> = </w:t>
            </w:r>
            <w:proofErr w:type="spellStart"/>
            <w:r w:rsidRPr="00C538FF">
              <w:rPr>
                <w:lang w:val="en-US"/>
              </w:rPr>
              <w:t>T</w:t>
            </w:r>
            <w:r w:rsidRPr="00C538FF">
              <w:rPr>
                <w:vertAlign w:val="subscript"/>
                <w:lang w:val="en-US"/>
              </w:rPr>
              <w:t>RRC_procedure_delay</w:t>
            </w:r>
            <w:proofErr w:type="spellEnd"/>
            <w:r w:rsidRPr="00C538FF">
              <w:rPr>
                <w:vertAlign w:val="subscript"/>
                <w:lang w:val="en-US"/>
              </w:rPr>
              <w:t xml:space="preserve"> </w:t>
            </w:r>
            <w:r w:rsidRPr="00C538FF">
              <w:rPr>
                <w:lang w:val="en-US"/>
              </w:rPr>
              <w:t xml:space="preserve">+ </w:t>
            </w:r>
            <w:proofErr w:type="spellStart"/>
            <w:r w:rsidRPr="00C538FF">
              <w:rPr>
                <w:lang w:val="en-US"/>
              </w:rPr>
              <w:t>T</w:t>
            </w:r>
            <w:r w:rsidRPr="00C538FF">
              <w:rPr>
                <w:vertAlign w:val="subscript"/>
                <w:lang w:val="en-US"/>
              </w:rPr>
              <w:t>period_DL_bitmap</w:t>
            </w:r>
            <w:proofErr w:type="spellEnd"/>
            <w:r w:rsidRPr="00C538FF">
              <w:rPr>
                <w:lang w:val="en-US"/>
              </w:rPr>
              <w:t xml:space="preserve"> + </w:t>
            </w:r>
            <w:proofErr w:type="spellStart"/>
            <w:r w:rsidRPr="00C538FF">
              <w:rPr>
                <w:lang w:val="en-US"/>
              </w:rPr>
              <w:t>T</w:t>
            </w:r>
            <w:r w:rsidRPr="00C538FF">
              <w:rPr>
                <w:vertAlign w:val="subscript"/>
                <w:lang w:val="en-US"/>
              </w:rPr>
              <w:t>UL_grant</w:t>
            </w:r>
            <w:proofErr w:type="spellEnd"/>
            <w:r w:rsidRPr="00C538FF">
              <w:rPr>
                <w:vertAlign w:val="subscript"/>
                <w:lang w:val="en-US"/>
              </w:rPr>
              <w:t xml:space="preserve"> </w:t>
            </w:r>
            <w:r w:rsidRPr="00C538FF">
              <w:rPr>
                <w:lang w:val="en-US"/>
              </w:rPr>
              <w:t>+ T</w:t>
            </w:r>
            <w:r w:rsidRPr="00C538FF">
              <w:rPr>
                <w:vertAlign w:val="subscript"/>
                <w:lang w:val="en-US"/>
              </w:rPr>
              <w:t>DL-UL switch</w:t>
            </w:r>
            <w:r w:rsidRPr="00C538FF">
              <w:rPr>
                <w:lang w:val="en-US"/>
              </w:rPr>
              <w:t xml:space="preserve"> + T</w:t>
            </w:r>
            <w:r w:rsidRPr="00C538FF">
              <w:rPr>
                <w:vertAlign w:val="subscript"/>
                <w:lang w:val="en-US"/>
              </w:rPr>
              <w:t>NPUSCH</w:t>
            </w:r>
          </w:p>
          <w:p w14:paraId="2B39104C" w14:textId="77777777" w:rsidR="00B33226" w:rsidRPr="00C538FF" w:rsidRDefault="00B33226" w:rsidP="008B2813">
            <w:pPr>
              <w:rPr>
                <w:lang w:val="en-US"/>
              </w:rPr>
            </w:pPr>
            <w:r w:rsidRPr="00C538FF">
              <w:rPr>
                <w:lang w:val="en-US"/>
              </w:rPr>
              <w:t>-</w:t>
            </w:r>
            <w:r w:rsidRPr="00C538FF">
              <w:rPr>
                <w:lang w:val="en-US"/>
              </w:rPr>
              <w:tab/>
            </w:r>
            <w:proofErr w:type="spellStart"/>
            <w:r w:rsidRPr="00C538FF">
              <w:rPr>
                <w:lang w:val="en-US"/>
              </w:rPr>
              <w:t>T</w:t>
            </w:r>
            <w:r w:rsidRPr="00C538FF">
              <w:rPr>
                <w:vertAlign w:val="subscript"/>
                <w:lang w:val="en-US"/>
              </w:rPr>
              <w:t>RRC_procedure_delay</w:t>
            </w:r>
            <w:proofErr w:type="spellEnd"/>
            <w:r w:rsidRPr="00C538FF">
              <w:rPr>
                <w:lang w:val="en-US"/>
              </w:rPr>
              <w:t>: It is the RRC procedure for processing the received message “</w:t>
            </w:r>
            <w:proofErr w:type="spellStart"/>
            <w:r w:rsidRPr="00C538FF">
              <w:rPr>
                <w:i/>
                <w:lang w:val="en-US"/>
              </w:rPr>
              <w:t>CarrierConfigDedicated</w:t>
            </w:r>
            <w:proofErr w:type="spellEnd"/>
            <w:r w:rsidRPr="00C538FF">
              <w:rPr>
                <w:i/>
                <w:lang w:val="en-US"/>
              </w:rPr>
              <w:t>-NB</w:t>
            </w:r>
            <w:r w:rsidRPr="00C538FF">
              <w:rPr>
                <w:lang w:val="en-US"/>
              </w:rPr>
              <w:t xml:space="preserve">”. It shall be less than 110 </w:t>
            </w:r>
            <w:proofErr w:type="spellStart"/>
            <w:r w:rsidRPr="00C538FF">
              <w:rPr>
                <w:lang w:val="en-US"/>
              </w:rPr>
              <w:t>ms.</w:t>
            </w:r>
            <w:proofErr w:type="spellEnd"/>
          </w:p>
          <w:p w14:paraId="4732EC08" w14:textId="77777777" w:rsidR="00B33226" w:rsidRDefault="00B33226" w:rsidP="008B2813">
            <w:pPr>
              <w:rPr>
                <w:lang w:val="en-US"/>
              </w:rPr>
            </w:pPr>
            <w:r w:rsidRPr="00C538FF">
              <w:rPr>
                <w:lang w:val="en-US"/>
              </w:rPr>
              <w:t>-</w:t>
            </w:r>
            <w:r w:rsidRPr="00C538FF">
              <w:rPr>
                <w:lang w:val="en-US"/>
              </w:rPr>
              <w:tab/>
            </w:r>
            <w:proofErr w:type="spellStart"/>
            <w:r w:rsidRPr="00C538FF">
              <w:rPr>
                <w:lang w:val="en-US"/>
              </w:rPr>
              <w:t>T</w:t>
            </w:r>
            <w:r w:rsidRPr="00C538FF">
              <w:rPr>
                <w:vertAlign w:val="subscript"/>
                <w:lang w:val="en-US"/>
              </w:rPr>
              <w:t>period_DL_bitmap</w:t>
            </w:r>
            <w:proofErr w:type="spellEnd"/>
            <w:r w:rsidRPr="00C538FF">
              <w:rPr>
                <w:lang w:val="en-US"/>
              </w:rPr>
              <w:t xml:space="preserve">: It is the periodicity of the downlink subframe configuration for downlink transmission on the non-anchor carrier. </w:t>
            </w:r>
            <w:r w:rsidRPr="00C538FF">
              <w:rPr>
                <w:highlight w:val="cyan"/>
                <w:lang w:val="en-US"/>
              </w:rPr>
              <w:t xml:space="preserve">It is configured via IE </w:t>
            </w:r>
            <w:r w:rsidRPr="00C538FF">
              <w:rPr>
                <w:i/>
                <w:highlight w:val="cyan"/>
                <w:lang w:val="en-US"/>
              </w:rPr>
              <w:t>DL-Bitmap-NB</w:t>
            </w:r>
            <w:r w:rsidRPr="00C538FF">
              <w:rPr>
                <w:highlight w:val="cyan"/>
                <w:lang w:val="en-US"/>
              </w:rPr>
              <w:t xml:space="preserve"> [2] and can be 10 </w:t>
            </w:r>
            <w:proofErr w:type="spellStart"/>
            <w:r w:rsidRPr="00C538FF">
              <w:rPr>
                <w:highlight w:val="cyan"/>
                <w:lang w:val="en-US"/>
              </w:rPr>
              <w:t>ms</w:t>
            </w:r>
            <w:proofErr w:type="spellEnd"/>
            <w:r w:rsidRPr="00C538FF">
              <w:rPr>
                <w:highlight w:val="cyan"/>
                <w:lang w:val="en-US"/>
              </w:rPr>
              <w:t xml:space="preserve"> or 40 </w:t>
            </w:r>
            <w:proofErr w:type="spellStart"/>
            <w:r w:rsidRPr="00C538FF">
              <w:rPr>
                <w:highlight w:val="cyan"/>
                <w:lang w:val="en-US"/>
              </w:rPr>
              <w:t>ms.</w:t>
            </w:r>
            <w:proofErr w:type="spellEnd"/>
          </w:p>
          <w:p w14:paraId="0795C022" w14:textId="77777777" w:rsidR="00B33226" w:rsidRPr="00C538FF" w:rsidRDefault="00B33226" w:rsidP="008B2813">
            <w:pPr>
              <w:rPr>
                <w:lang w:val="en-US"/>
              </w:rPr>
            </w:pPr>
            <w:r w:rsidRPr="00C538FF">
              <w:rPr>
                <w:lang w:val="en-US"/>
              </w:rPr>
              <w:t>T</w:t>
            </w:r>
            <w:r w:rsidRPr="00C538FF">
              <w:rPr>
                <w:vertAlign w:val="subscript"/>
                <w:lang w:val="en-US"/>
              </w:rPr>
              <w:t>DL-UL switch</w:t>
            </w:r>
            <w:r w:rsidRPr="00C538FF">
              <w:rPr>
                <w:lang w:val="en-US"/>
              </w:rPr>
              <w:t xml:space="preserve">: It is the time between the end of the last subframe in the repetition period of NPDCCH received on the non-anchor carrier and the start of the first subframe in the repetition period of the corresponding NPUSCH transmitted on the non-anchor carrier. </w:t>
            </w:r>
            <w:r w:rsidRPr="00C538FF">
              <w:rPr>
                <w:highlight w:val="cyan"/>
                <w:lang w:val="en-US"/>
              </w:rPr>
              <w:t>T</w:t>
            </w:r>
            <w:r w:rsidRPr="00C538FF">
              <w:rPr>
                <w:highlight w:val="cyan"/>
                <w:vertAlign w:val="subscript"/>
                <w:lang w:val="en-US"/>
              </w:rPr>
              <w:t>DL-UL switch</w:t>
            </w:r>
            <w:r w:rsidRPr="00C538FF">
              <w:rPr>
                <w:highlight w:val="cyan"/>
                <w:lang w:val="en-US"/>
              </w:rPr>
              <w:t xml:space="preserve"> is 8 </w:t>
            </w:r>
            <w:proofErr w:type="spellStart"/>
            <w:r w:rsidRPr="00C538FF">
              <w:rPr>
                <w:highlight w:val="cyan"/>
                <w:lang w:val="en-US"/>
              </w:rPr>
              <w:t>ms.</w:t>
            </w:r>
            <w:proofErr w:type="spellEnd"/>
          </w:p>
          <w:p w14:paraId="16F887EF" w14:textId="77777777" w:rsidR="00B33226" w:rsidRPr="00C538FF" w:rsidRDefault="00B33226" w:rsidP="008B2813">
            <w:pPr>
              <w:rPr>
                <w:lang w:val="en-US"/>
              </w:rPr>
            </w:pPr>
            <w:r w:rsidRPr="00C538FF">
              <w:rPr>
                <w:lang w:val="en-US"/>
              </w:rPr>
              <w:t>-</w:t>
            </w:r>
            <w:r w:rsidRPr="00C538FF">
              <w:rPr>
                <w:lang w:val="en-US"/>
              </w:rPr>
              <w:tab/>
              <w:t>T</w:t>
            </w:r>
            <w:r w:rsidRPr="00C538FF">
              <w:rPr>
                <w:vertAlign w:val="subscript"/>
                <w:lang w:val="en-US"/>
              </w:rPr>
              <w:t>NPUSCH</w:t>
            </w:r>
            <w:r w:rsidRPr="00C538FF">
              <w:rPr>
                <w:lang w:val="en-US"/>
              </w:rPr>
              <w:t>: It is the time required to transmit NPUSCH on the non-anchor carrier. The value of T</w:t>
            </w:r>
            <w:r w:rsidRPr="00C538FF">
              <w:rPr>
                <w:vertAlign w:val="subscript"/>
                <w:lang w:val="en-US"/>
              </w:rPr>
              <w:t xml:space="preserve">NPUSCH </w:t>
            </w:r>
            <w:r w:rsidRPr="00C538FF">
              <w:rPr>
                <w:lang w:val="en-US"/>
              </w:rPr>
              <w:t>depends on the number of repetitions of NPUSCH used in the non-anchor carrier.</w:t>
            </w:r>
          </w:p>
          <w:p w14:paraId="57839C69" w14:textId="77777777" w:rsidR="00B33226" w:rsidRPr="00C538FF" w:rsidRDefault="00B33226" w:rsidP="008B2813">
            <w:pPr>
              <w:rPr>
                <w:lang w:val="en-US"/>
              </w:rPr>
            </w:pPr>
            <w:r w:rsidRPr="00C538FF">
              <w:rPr>
                <w:lang w:val="en-US"/>
              </w:rPr>
              <w:t>When the NPUSCH ACK transmission for the received RRC message takes longer than 110ms, the overall RRC connection redirection delay may be extended.</w:t>
            </w:r>
          </w:p>
          <w:p w14:paraId="6F145803" w14:textId="77777777" w:rsidR="00B33226" w:rsidRPr="00C538FF" w:rsidRDefault="00B33226" w:rsidP="008B2813">
            <w:pPr>
              <w:rPr>
                <w:lang w:val="en-US"/>
              </w:rPr>
            </w:pPr>
          </w:p>
          <w:p w14:paraId="7A814C32" w14:textId="77777777" w:rsidR="00B33226" w:rsidRPr="00C538FF" w:rsidRDefault="00B33226" w:rsidP="008B2813">
            <w:pPr>
              <w:rPr>
                <w:lang w:val="en-US"/>
              </w:rPr>
            </w:pPr>
          </w:p>
        </w:tc>
      </w:tr>
    </w:tbl>
    <w:p w14:paraId="51778136" w14:textId="77777777" w:rsidR="00B33226" w:rsidRDefault="00B33226" w:rsidP="00B33226"/>
    <w:p w14:paraId="79A7EB9A" w14:textId="1F88E3E8" w:rsidR="00B33226" w:rsidRDefault="00B33226" w:rsidP="007E0E24">
      <w:r>
        <w:t xml:space="preserve"> As we highlight above, two of the parameters need to be revisited during this WI, as they are impacted by the periodic pattern introduced. </w:t>
      </w:r>
    </w:p>
    <w:p w14:paraId="39C9901E" w14:textId="23CCE5C1" w:rsidR="00B33226" w:rsidRDefault="00B33226" w:rsidP="007E0E24">
      <w:pPr>
        <w:rPr>
          <w:lang w:val="en-US"/>
        </w:rPr>
      </w:pPr>
      <w:r>
        <w:lastRenderedPageBreak/>
        <w:t xml:space="preserve">The </w:t>
      </w:r>
      <w:proofErr w:type="spellStart"/>
      <w:r w:rsidRPr="00C538FF">
        <w:rPr>
          <w:lang w:val="en-US"/>
        </w:rPr>
        <w:t>T</w:t>
      </w:r>
      <w:r w:rsidRPr="00C538FF">
        <w:rPr>
          <w:vertAlign w:val="subscript"/>
          <w:lang w:val="en-US"/>
        </w:rPr>
        <w:t>period_DL_bitmap</w:t>
      </w:r>
      <w:proofErr w:type="spellEnd"/>
      <w:r>
        <w:rPr>
          <w:vertAlign w:val="subscript"/>
          <w:lang w:val="en-US"/>
        </w:rPr>
        <w:t xml:space="preserve"> </w:t>
      </w:r>
      <w:r>
        <w:rPr>
          <w:lang w:val="en-US"/>
        </w:rPr>
        <w:t xml:space="preserve">defines the periodicity of the DL subframe configuration on the non-anchor carrier. It could be previously configured for 10 or 40 </w:t>
      </w:r>
      <w:proofErr w:type="spellStart"/>
      <w:r>
        <w:rPr>
          <w:lang w:val="en-US"/>
        </w:rPr>
        <w:t>ms.</w:t>
      </w:r>
      <w:proofErr w:type="spellEnd"/>
      <w:r>
        <w:rPr>
          <w:lang w:val="en-US"/>
        </w:rPr>
        <w:t xml:space="preserve"> However, in the current WI, due to periodic patterns with cycle periods of 9 radio frames, the “off </w:t>
      </w:r>
      <w:proofErr w:type="gramStart"/>
      <w:r>
        <w:rPr>
          <w:lang w:val="en-US"/>
        </w:rPr>
        <w:t>time”  of</w:t>
      </w:r>
      <w:proofErr w:type="gramEnd"/>
      <w:r>
        <w:rPr>
          <w:lang w:val="en-US"/>
        </w:rPr>
        <w:t xml:space="preserve"> a cell might be close to 90 </w:t>
      </w:r>
      <w:proofErr w:type="spellStart"/>
      <w:r>
        <w:rPr>
          <w:lang w:val="en-US"/>
        </w:rPr>
        <w:t>ms.</w:t>
      </w:r>
      <w:proofErr w:type="spellEnd"/>
      <w:r>
        <w:rPr>
          <w:lang w:val="en-US"/>
        </w:rPr>
        <w:t xml:space="preserve"> Therefore, the value of the parameter requires updating. </w:t>
      </w:r>
    </w:p>
    <w:p w14:paraId="66D2143A" w14:textId="256B50D4" w:rsidR="00B33226" w:rsidRDefault="00B33226" w:rsidP="00B33226">
      <w:pPr>
        <w:pStyle w:val="RAN4proposal"/>
        <w:rPr>
          <w:lang w:val="en-US"/>
        </w:rPr>
      </w:pPr>
      <w:bookmarkStart w:id="12" w:name="_Toc189838965"/>
      <w:r>
        <w:t xml:space="preserve">Update </w:t>
      </w:r>
      <w:proofErr w:type="spellStart"/>
      <w:r w:rsidRPr="00C538FF">
        <w:rPr>
          <w:lang w:val="en-US"/>
        </w:rPr>
        <w:t>T</w:t>
      </w:r>
      <w:r w:rsidRPr="00C538FF">
        <w:rPr>
          <w:vertAlign w:val="subscript"/>
          <w:lang w:val="en-US"/>
        </w:rPr>
        <w:t>period_DL_bitmap</w:t>
      </w:r>
      <w:proofErr w:type="spellEnd"/>
      <w:r>
        <w:rPr>
          <w:vertAlign w:val="subscript"/>
          <w:lang w:val="en-US"/>
        </w:rPr>
        <w:t xml:space="preserve"> </w:t>
      </w:r>
      <w:r>
        <w:rPr>
          <w:lang w:val="en-US"/>
        </w:rPr>
        <w:t xml:space="preserve">to a value compatible with a period of 90 </w:t>
      </w:r>
      <w:proofErr w:type="spellStart"/>
      <w:r>
        <w:rPr>
          <w:lang w:val="en-US"/>
        </w:rPr>
        <w:t>ms.</w:t>
      </w:r>
      <w:bookmarkEnd w:id="12"/>
      <w:proofErr w:type="spellEnd"/>
      <w:r>
        <w:rPr>
          <w:lang w:val="en-US"/>
        </w:rPr>
        <w:t xml:space="preserve"> </w:t>
      </w:r>
    </w:p>
    <w:p w14:paraId="5FBF5790" w14:textId="1640A4D1" w:rsidR="00B33226" w:rsidRDefault="00B33226" w:rsidP="00B33226">
      <w:pPr>
        <w:rPr>
          <w:lang w:val="en-US"/>
        </w:rPr>
      </w:pPr>
      <w:r>
        <w:rPr>
          <w:lang w:val="en-US"/>
        </w:rPr>
        <w:t xml:space="preserve">Also the </w:t>
      </w:r>
      <w:r w:rsidRPr="00C538FF">
        <w:rPr>
          <w:lang w:val="en-US"/>
        </w:rPr>
        <w:t>T</w:t>
      </w:r>
      <w:r w:rsidRPr="00C538FF">
        <w:rPr>
          <w:vertAlign w:val="subscript"/>
          <w:lang w:val="en-US"/>
        </w:rPr>
        <w:t xml:space="preserve">DL-UL </w:t>
      </w:r>
      <w:proofErr w:type="gramStart"/>
      <w:r w:rsidRPr="00C538FF">
        <w:rPr>
          <w:vertAlign w:val="subscript"/>
          <w:lang w:val="en-US"/>
        </w:rPr>
        <w:t>switch</w:t>
      </w:r>
      <w:r>
        <w:rPr>
          <w:vertAlign w:val="subscript"/>
          <w:lang w:val="en-US"/>
        </w:rPr>
        <w:t xml:space="preserve"> </w:t>
      </w:r>
      <w:r>
        <w:rPr>
          <w:lang w:val="en-US"/>
        </w:rPr>
        <w:t xml:space="preserve"> which</w:t>
      </w:r>
      <w:proofErr w:type="gramEnd"/>
      <w:r>
        <w:rPr>
          <w:lang w:val="en-US"/>
        </w:rPr>
        <w:t xml:space="preserve"> measures the time between the end of the last subframe in the repetition perio</w:t>
      </w:r>
      <w:r w:rsidR="003D0DA0">
        <w:rPr>
          <w:lang w:val="en-US"/>
        </w:rPr>
        <w:t>d</w:t>
      </w:r>
      <w:r>
        <w:rPr>
          <w:lang w:val="en-US"/>
        </w:rPr>
        <w:t xml:space="preserve"> of the NPDCCH received on the non-anchor carrier and the start of the first subframe in the repetition period of the NPUSCH transmitted on the non-anchor carrier requires updating. Currently the delay value is set to 8 </w:t>
      </w:r>
      <w:proofErr w:type="spellStart"/>
      <w:r>
        <w:rPr>
          <w:lang w:val="en-US"/>
        </w:rPr>
        <w:t>ms.</w:t>
      </w:r>
      <w:proofErr w:type="spellEnd"/>
      <w:r>
        <w:rPr>
          <w:lang w:val="en-US"/>
        </w:rPr>
        <w:t xml:space="preserve"> But in practice this value might be much longer than 8 ms, as there might be a gap between UL and DL active frames in the TDD periodic pattern. </w:t>
      </w:r>
    </w:p>
    <w:p w14:paraId="182309B5" w14:textId="7C012B42" w:rsidR="00B33226" w:rsidRDefault="00B33226" w:rsidP="00B33226">
      <w:pPr>
        <w:pStyle w:val="RAN4proposal"/>
        <w:rPr>
          <w:lang w:val="en-US"/>
        </w:rPr>
      </w:pPr>
      <w:bookmarkStart w:id="13" w:name="_Toc189838966"/>
      <w:r>
        <w:t xml:space="preserve">Update </w:t>
      </w:r>
      <w:r w:rsidRPr="00C538FF">
        <w:rPr>
          <w:lang w:val="en-US"/>
        </w:rPr>
        <w:t>T</w:t>
      </w:r>
      <w:r w:rsidRPr="00C538FF">
        <w:rPr>
          <w:vertAlign w:val="subscript"/>
          <w:lang w:val="en-US"/>
        </w:rPr>
        <w:t>DL-UL switch</w:t>
      </w:r>
      <w:r>
        <w:rPr>
          <w:vertAlign w:val="subscript"/>
          <w:lang w:val="en-US"/>
        </w:rPr>
        <w:t xml:space="preserve"> </w:t>
      </w:r>
      <w:r>
        <w:rPr>
          <w:lang w:val="en-US"/>
        </w:rPr>
        <w:t xml:space="preserve">to a value compatible with a period of 90 </w:t>
      </w:r>
      <w:proofErr w:type="spellStart"/>
      <w:r>
        <w:rPr>
          <w:lang w:val="en-US"/>
        </w:rPr>
        <w:t>ms.</w:t>
      </w:r>
      <w:bookmarkEnd w:id="13"/>
      <w:proofErr w:type="spellEnd"/>
      <w:r>
        <w:rPr>
          <w:lang w:val="en-US"/>
        </w:rPr>
        <w:t xml:space="preserve"> </w:t>
      </w:r>
    </w:p>
    <w:p w14:paraId="6B9E8742" w14:textId="068270AD" w:rsidR="00FD5118" w:rsidRDefault="00FD5118" w:rsidP="00FD5118">
      <w:pPr>
        <w:pStyle w:val="RAN4H2"/>
      </w:pPr>
      <w:r w:rsidRPr="009F07D8">
        <w:t>Cell Measurements</w:t>
      </w:r>
    </w:p>
    <w:p w14:paraId="22EF2D1D" w14:textId="2E7F5EF4" w:rsidR="009304F4" w:rsidRDefault="009304F4" w:rsidP="009304F4">
      <w:r>
        <w:t>In Clause 8.14A, it is established that the measurements of the serving cell are applicable provided that some side conditions are fulfilled:</w:t>
      </w:r>
    </w:p>
    <w:p w14:paraId="7BDCCB62" w14:textId="77777777" w:rsidR="009304F4" w:rsidRDefault="009304F4" w:rsidP="009304F4"/>
    <w:tbl>
      <w:tblPr>
        <w:tblStyle w:val="TableGrid"/>
        <w:tblW w:w="0" w:type="auto"/>
        <w:tblLook w:val="04A0" w:firstRow="1" w:lastRow="0" w:firstColumn="1" w:lastColumn="0" w:noHBand="0" w:noVBand="1"/>
      </w:tblPr>
      <w:tblGrid>
        <w:gridCol w:w="9617"/>
      </w:tblGrid>
      <w:tr w:rsidR="009304F4" w14:paraId="43EDE6B5" w14:textId="77777777" w:rsidTr="009304F4">
        <w:tc>
          <w:tcPr>
            <w:tcW w:w="9617" w:type="dxa"/>
          </w:tcPr>
          <w:p w14:paraId="6F3E8E70" w14:textId="77777777" w:rsidR="009304F4" w:rsidRPr="009304F4" w:rsidRDefault="009304F4" w:rsidP="009304F4">
            <w:pPr>
              <w:rPr>
                <w:lang w:val="en-US"/>
              </w:rPr>
            </w:pPr>
            <w:r w:rsidRPr="009304F4">
              <w:rPr>
                <w:lang w:val="en-US"/>
              </w:rPr>
              <w:t>The UE shall meet all applicable requirements specified in clause 8.14A under the following conditions:</w:t>
            </w:r>
          </w:p>
          <w:p w14:paraId="4DEB46B0" w14:textId="77777777" w:rsidR="009304F4" w:rsidRPr="009304F4" w:rsidRDefault="009304F4" w:rsidP="009304F4">
            <w:pPr>
              <w:rPr>
                <w:lang w:val="en-US"/>
              </w:rPr>
            </w:pPr>
            <w:r w:rsidRPr="009304F4">
              <w:rPr>
                <w:lang w:val="en-US"/>
              </w:rPr>
              <w:t>-</w:t>
            </w:r>
            <w:r w:rsidRPr="009304F4">
              <w:rPr>
                <w:lang w:val="en-US"/>
              </w:rPr>
              <w:tab/>
              <w:t xml:space="preserve">at least 1 DL subframe </w:t>
            </w:r>
            <w:r w:rsidRPr="009304F4">
              <w:rPr>
                <w:highlight w:val="yellow"/>
                <w:lang w:val="en-US"/>
              </w:rPr>
              <w:t>per radio frame</w:t>
            </w:r>
            <w:r w:rsidRPr="009304F4">
              <w:rPr>
                <w:lang w:val="en-US"/>
              </w:rPr>
              <w:t xml:space="preserve"> of serving NB-IoT cell is available at the UE during measurement period.</w:t>
            </w:r>
          </w:p>
          <w:p w14:paraId="5603AC45" w14:textId="77777777" w:rsidR="009304F4" w:rsidRPr="009304F4" w:rsidRDefault="009304F4" w:rsidP="009304F4">
            <w:pPr>
              <w:rPr>
                <w:lang w:val="en-US"/>
              </w:rPr>
            </w:pPr>
            <w:r w:rsidRPr="009304F4">
              <w:rPr>
                <w:lang w:val="en-US"/>
              </w:rPr>
              <w:t>-</w:t>
            </w:r>
            <w:r w:rsidRPr="009304F4">
              <w:rPr>
                <w:lang w:val="en-US"/>
              </w:rPr>
              <w:tab/>
              <w:t>Valid information for the serving satellite has been provided</w:t>
            </w:r>
          </w:p>
          <w:p w14:paraId="76EED853" w14:textId="77777777" w:rsidR="009304F4" w:rsidRPr="009304F4" w:rsidRDefault="009304F4" w:rsidP="009304F4">
            <w:pPr>
              <w:rPr>
                <w:lang w:val="en-US"/>
              </w:rPr>
            </w:pPr>
          </w:p>
        </w:tc>
      </w:tr>
    </w:tbl>
    <w:p w14:paraId="3B1E7C48" w14:textId="77777777" w:rsidR="009304F4" w:rsidRPr="009304F4" w:rsidRDefault="009304F4" w:rsidP="009304F4"/>
    <w:p w14:paraId="4E7B3D5B" w14:textId="7FC73467" w:rsidR="009F07D8" w:rsidRPr="009F07D8" w:rsidRDefault="009304F4" w:rsidP="009F07D8">
      <w:r>
        <w:t xml:space="preserve">The first condition might be a non-reachable condition </w:t>
      </w:r>
      <w:r w:rsidR="002F09CC">
        <w:t xml:space="preserve">for the new IoT TDD frame. The reason is that only one or two frames are partially transmitted at every 90 ms. Therefore, the condition might never be fulfilled if the radio frames not transmitted by the network are considered as unavailable. The only scenario where this condition can be achieved depends on whether RAN1 adapts the radio frame counting such that only active radio frames are counted or considered valid ones. </w:t>
      </w:r>
    </w:p>
    <w:p w14:paraId="43927329" w14:textId="156259E5" w:rsidR="00FD5118" w:rsidRPr="00243917" w:rsidRDefault="002F09CC" w:rsidP="002F09CC">
      <w:pPr>
        <w:pStyle w:val="RAN4proposal"/>
      </w:pPr>
      <w:bookmarkStart w:id="14" w:name="_Toc189838967"/>
      <w:r w:rsidRPr="00243917">
        <w:t>Revise the cell measurements condition where at least one 1 DL subframe per radio frame has to be available at the UE during the measurement period.</w:t>
      </w:r>
      <w:bookmarkEnd w:id="14"/>
      <w:r w:rsidRPr="00243917">
        <w:t xml:space="preserve"> </w:t>
      </w:r>
    </w:p>
    <w:p w14:paraId="61B08892" w14:textId="48FF967B" w:rsidR="002F09CC" w:rsidRPr="002F09CC" w:rsidRDefault="002F09CC" w:rsidP="007A2588">
      <w:r w:rsidRPr="002F09CC">
        <w:t>The second condition is also a critical one, and it was introduced in Rel-17, such that the UE can only be required to perform accurate cell measurements if provided with satellite ephemeris, such that Doppler delay can be compensated. For the new frame structure, though, it is important to remember that several synchronization signals will be “</w:t>
      </w:r>
      <w:proofErr w:type="gramStart"/>
      <w:r w:rsidRPr="002F09CC">
        <w:t>not-transmitted</w:t>
      </w:r>
      <w:proofErr w:type="gramEnd"/>
      <w:r w:rsidRPr="002F09CC">
        <w:t xml:space="preserve">” within a period of N=9 radio frames. </w:t>
      </w:r>
      <w:proofErr w:type="gramStart"/>
      <w:r w:rsidRPr="002F09CC">
        <w:t>So</w:t>
      </w:r>
      <w:proofErr w:type="gramEnd"/>
      <w:r w:rsidRPr="002F09CC">
        <w:t xml:space="preserve"> in order to assist UE measurements:</w:t>
      </w:r>
    </w:p>
    <w:p w14:paraId="40634314" w14:textId="709A007A" w:rsidR="002F09CC" w:rsidRDefault="002F09CC" w:rsidP="002F09CC">
      <w:pPr>
        <w:pStyle w:val="RAN4proposal"/>
      </w:pPr>
      <w:bookmarkStart w:id="15" w:name="_Toc189838968"/>
      <w:r>
        <w:t>Serving cell measurement requirements apply provided the UE is provided with the configuration about the “active DL” periods.</w:t>
      </w:r>
      <w:bookmarkEnd w:id="15"/>
      <w:r>
        <w:t xml:space="preserve">  </w:t>
      </w:r>
    </w:p>
    <w:p w14:paraId="1028AF81" w14:textId="77777777" w:rsidR="002F09CC" w:rsidRPr="002F09CC" w:rsidRDefault="002F09CC" w:rsidP="002F09CC"/>
    <w:p w14:paraId="0733D333" w14:textId="77777777" w:rsidR="0060543D" w:rsidRPr="008F786B" w:rsidRDefault="0060543D" w:rsidP="0060543D"/>
    <w:p w14:paraId="6A39F7E2" w14:textId="77777777" w:rsidR="00893D2E" w:rsidRPr="008F786B" w:rsidRDefault="00893D2E">
      <w:pPr>
        <w:rPr>
          <w:rFonts w:ascii="Arial" w:eastAsia="SimSun" w:hAnsi="Arial" w:cs="Times New Roman"/>
          <w:sz w:val="36"/>
          <w:szCs w:val="20"/>
        </w:rPr>
      </w:pPr>
      <w:bookmarkStart w:id="16" w:name="_Toc116995848"/>
      <w:r w:rsidRPr="008F786B">
        <w:br w:type="page"/>
      </w:r>
    </w:p>
    <w:p w14:paraId="4CE78752" w14:textId="77777777" w:rsidR="00CD7492" w:rsidRPr="008F786B" w:rsidRDefault="00CD7492" w:rsidP="00A37002">
      <w:pPr>
        <w:pStyle w:val="RAN4H1"/>
      </w:pPr>
      <w:r w:rsidRPr="008F786B">
        <w:lastRenderedPageBreak/>
        <w:t>Conclusion</w:t>
      </w:r>
      <w:bookmarkEnd w:id="16"/>
    </w:p>
    <w:p w14:paraId="693F360B" w14:textId="588C52E7" w:rsidR="00381F95" w:rsidRPr="008F786B" w:rsidRDefault="00243917" w:rsidP="00936159">
      <w:r>
        <w:t>In this paper we provided our views on the impacts caused to RRM requirements by changes on the TDD periodic pattern in NTN. The following proposals and observations were made:</w:t>
      </w:r>
    </w:p>
    <w:p w14:paraId="157BA040" w14:textId="491B79CC" w:rsidR="00243917"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89838959" w:history="1">
        <w:r w:rsidR="00243917" w:rsidRPr="003C089B">
          <w:rPr>
            <w:rStyle w:val="Hyperlink"/>
            <w:b/>
            <w:noProof/>
          </w:rPr>
          <w:t>Observation 1:</w:t>
        </w:r>
        <w:r w:rsidR="00243917" w:rsidRPr="003C089B">
          <w:rPr>
            <w:rStyle w:val="Hyperlink"/>
            <w:noProof/>
          </w:rPr>
          <w:t xml:space="preserve"> The active part of the DRX Cycle will slide over time and in certain cases would correspond to the “non-active” part of the cell.</w:t>
        </w:r>
      </w:hyperlink>
    </w:p>
    <w:p w14:paraId="42BF6BED" w14:textId="648BDBBF" w:rsidR="00243917" w:rsidRDefault="00243917">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38960" w:history="1">
        <w:r w:rsidRPr="003C089B">
          <w:rPr>
            <w:rStyle w:val="Hyperlink"/>
            <w:noProof/>
          </w:rPr>
          <w:t>Proposal 1: For requirements related to the configuration of the DRX Cycle, wait for RAN1 conclusion on how to align the periodicity of the cycle with the cell transmit times.</w:t>
        </w:r>
      </w:hyperlink>
    </w:p>
    <w:p w14:paraId="449C312C" w14:textId="39FBFAD6" w:rsidR="00243917" w:rsidRDefault="00243917">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189838961" w:history="1">
        <w:r w:rsidRPr="003C089B">
          <w:rPr>
            <w:rStyle w:val="Hyperlink"/>
            <w:b/>
            <w:noProof/>
          </w:rPr>
          <w:t>Observation 2:</w:t>
        </w:r>
        <w:r w:rsidRPr="003C089B">
          <w:rPr>
            <w:rStyle w:val="Hyperlink"/>
            <w:noProof/>
          </w:rPr>
          <w:t xml:space="preserve"> There will be at least one DL subframe available per evaluation period, but not per radio frame, as some of the radio frames will not be transmitted.</w:t>
        </w:r>
      </w:hyperlink>
    </w:p>
    <w:p w14:paraId="3717492A" w14:textId="38753DAD" w:rsidR="00243917" w:rsidRDefault="00243917">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189838962" w:history="1">
        <w:r w:rsidRPr="003C089B">
          <w:rPr>
            <w:rStyle w:val="Hyperlink"/>
            <w:noProof/>
          </w:rPr>
          <w:t>For the non-DRX case, the default values for the evaluation periods are provided by Table 7.23A.2.1-1 and reproduced below for convenience.</w:t>
        </w:r>
      </w:hyperlink>
    </w:p>
    <w:p w14:paraId="135EA47B" w14:textId="1AEE5032" w:rsidR="00243917" w:rsidRDefault="00243917">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38963" w:history="1">
        <w:r w:rsidRPr="003C089B">
          <w:rPr>
            <w:rStyle w:val="Hyperlink"/>
            <w:noProof/>
          </w:rPr>
          <w:t>Proposal 2: Do not update the RLM requirements when DRX Cycle is not configured, unless RAN1 changes cause impact to this requirement.</w:t>
        </w:r>
      </w:hyperlink>
    </w:p>
    <w:p w14:paraId="30D8BC74" w14:textId="3804D5B5" w:rsidR="00243917" w:rsidRDefault="00243917">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38964" w:history="1">
        <w:r w:rsidRPr="003C089B">
          <w:rPr>
            <w:rStyle w:val="Hyperlink"/>
            <w:noProof/>
          </w:rPr>
          <w:t>Proposal 3: For RLM requirements when DRX Cycle is configured, wait for RAN1 conclusions on whether DRX settings will be modified for IoT TDD.</w:t>
        </w:r>
      </w:hyperlink>
    </w:p>
    <w:p w14:paraId="05C289B5" w14:textId="5D300778" w:rsidR="00243917" w:rsidRDefault="00243917">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38965" w:history="1">
        <w:r w:rsidRPr="003C089B">
          <w:rPr>
            <w:rStyle w:val="Hyperlink"/>
            <w:noProof/>
            <w:lang w:val="en-US"/>
          </w:rPr>
          <w:t>Proposal 4:</w:t>
        </w:r>
        <w:r w:rsidRPr="003C089B">
          <w:rPr>
            <w:rStyle w:val="Hyperlink"/>
            <w:noProof/>
          </w:rPr>
          <w:t xml:space="preserve"> Update </w:t>
        </w:r>
        <w:r w:rsidRPr="003C089B">
          <w:rPr>
            <w:rStyle w:val="Hyperlink"/>
            <w:noProof/>
            <w:lang w:val="en-US"/>
          </w:rPr>
          <w:t>T</w:t>
        </w:r>
        <w:r w:rsidRPr="003C089B">
          <w:rPr>
            <w:rStyle w:val="Hyperlink"/>
            <w:noProof/>
            <w:vertAlign w:val="subscript"/>
            <w:lang w:val="en-US"/>
          </w:rPr>
          <w:t xml:space="preserve">period_DL_bitmap </w:t>
        </w:r>
        <w:r w:rsidRPr="003C089B">
          <w:rPr>
            <w:rStyle w:val="Hyperlink"/>
            <w:noProof/>
            <w:lang w:val="en-US"/>
          </w:rPr>
          <w:t>to a value compatible with a period of 90 ms.</w:t>
        </w:r>
      </w:hyperlink>
    </w:p>
    <w:p w14:paraId="132996E2" w14:textId="65FF83C1" w:rsidR="00243917" w:rsidRDefault="00243917">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38966" w:history="1">
        <w:r w:rsidRPr="003C089B">
          <w:rPr>
            <w:rStyle w:val="Hyperlink"/>
            <w:noProof/>
            <w:lang w:val="en-US"/>
          </w:rPr>
          <w:t>Proposal 5:</w:t>
        </w:r>
        <w:r w:rsidRPr="003C089B">
          <w:rPr>
            <w:rStyle w:val="Hyperlink"/>
            <w:noProof/>
          </w:rPr>
          <w:t xml:space="preserve"> Update </w:t>
        </w:r>
        <w:r w:rsidRPr="003C089B">
          <w:rPr>
            <w:rStyle w:val="Hyperlink"/>
            <w:noProof/>
            <w:lang w:val="en-US"/>
          </w:rPr>
          <w:t>T</w:t>
        </w:r>
        <w:r w:rsidRPr="003C089B">
          <w:rPr>
            <w:rStyle w:val="Hyperlink"/>
            <w:noProof/>
            <w:vertAlign w:val="subscript"/>
            <w:lang w:val="en-US"/>
          </w:rPr>
          <w:t xml:space="preserve">DL-UL switch </w:t>
        </w:r>
        <w:r w:rsidRPr="003C089B">
          <w:rPr>
            <w:rStyle w:val="Hyperlink"/>
            <w:noProof/>
            <w:lang w:val="en-US"/>
          </w:rPr>
          <w:t>to a value compatible with a period of 90 ms.</w:t>
        </w:r>
      </w:hyperlink>
    </w:p>
    <w:p w14:paraId="3D8E236F" w14:textId="283AB167" w:rsidR="00243917" w:rsidRDefault="00243917">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38967" w:history="1">
        <w:r w:rsidRPr="003C089B">
          <w:rPr>
            <w:rStyle w:val="Hyperlink"/>
            <w:noProof/>
          </w:rPr>
          <w:t>Proposal 6: Revise the cell measurements condition where at least one 1 DL subframe per radio frame has to be available at the UE during the measurement period.</w:t>
        </w:r>
      </w:hyperlink>
    </w:p>
    <w:p w14:paraId="10F2302B" w14:textId="1D773BDF" w:rsidR="00243917" w:rsidRDefault="00243917">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38968" w:history="1">
        <w:r w:rsidRPr="003C089B">
          <w:rPr>
            <w:rStyle w:val="Hyperlink"/>
            <w:noProof/>
          </w:rPr>
          <w:t>Proposal 7: Serving cell measurement requirements apply provided the UE is provided with the configuration about the “active DL” periods.</w:t>
        </w:r>
      </w:hyperlink>
    </w:p>
    <w:p w14:paraId="1F85074D" w14:textId="362EA91B" w:rsidR="00847264" w:rsidRPr="008F786B" w:rsidRDefault="00A4355E" w:rsidP="008C39F7">
      <w:r w:rsidRPr="008F786B">
        <w:fldChar w:fldCharType="end"/>
      </w:r>
      <w:bookmarkStart w:id="17" w:name="_Toc116995849"/>
    </w:p>
    <w:p w14:paraId="4D75CA19" w14:textId="77777777" w:rsidR="003B659E" w:rsidRPr="008F786B" w:rsidRDefault="003B659E" w:rsidP="0060543D">
      <w:pPr>
        <w:pStyle w:val="RAN4H1"/>
        <w:numPr>
          <w:ilvl w:val="0"/>
          <w:numId w:val="0"/>
        </w:numPr>
        <w:ind w:left="360" w:hanging="360"/>
      </w:pPr>
      <w:r w:rsidRPr="008F786B">
        <w:t>References</w:t>
      </w:r>
      <w:bookmarkEnd w:id="17"/>
    </w:p>
    <w:p w14:paraId="7992AECD" w14:textId="77777777" w:rsidR="007F448E" w:rsidRDefault="003904C6" w:rsidP="003904C6">
      <w:pPr>
        <w:pStyle w:val="ListParagraph"/>
        <w:numPr>
          <w:ilvl w:val="0"/>
          <w:numId w:val="21"/>
        </w:numPr>
        <w:spacing w:line="276" w:lineRule="auto"/>
        <w:rPr>
          <w:rFonts w:cstheme="minorHAnsi"/>
          <w:sz w:val="22"/>
          <w:lang w:val="en-US"/>
        </w:rPr>
      </w:pPr>
      <w:bookmarkStart w:id="18" w:name="_Ref114500673"/>
      <w:bookmarkStart w:id="19" w:name="_Ref189739749"/>
      <w:bookmarkStart w:id="20" w:name="_Ref141200037"/>
      <w:bookmarkStart w:id="21" w:name="_Ref101780668"/>
      <w:bookmarkStart w:id="22" w:name="_Ref130930496"/>
      <w:bookmarkStart w:id="23" w:name="_Ref117621126"/>
      <w:bookmarkStart w:id="24" w:name="_Ref110865186"/>
      <w:bookmarkEnd w:id="18"/>
      <w:r>
        <w:rPr>
          <w:rFonts w:cstheme="minorHAnsi"/>
          <w:sz w:val="22"/>
          <w:lang w:val="en-US"/>
        </w:rPr>
        <w:t>RP-242415, “New WID on introduction of IoT-NTN TDD mode”, September 2024</w:t>
      </w:r>
      <w:bookmarkEnd w:id="19"/>
    </w:p>
    <w:p w14:paraId="64A8431E" w14:textId="57717EAA" w:rsidR="003904C6" w:rsidRDefault="007F448E" w:rsidP="003904C6">
      <w:pPr>
        <w:pStyle w:val="ListParagraph"/>
        <w:numPr>
          <w:ilvl w:val="0"/>
          <w:numId w:val="21"/>
        </w:numPr>
        <w:spacing w:line="276" w:lineRule="auto"/>
        <w:rPr>
          <w:rFonts w:cstheme="minorHAnsi"/>
          <w:sz w:val="22"/>
          <w:lang w:val="en-US"/>
        </w:rPr>
      </w:pPr>
      <w:bookmarkStart w:id="25" w:name="_Ref189740025"/>
      <w:r w:rsidRPr="007F448E">
        <w:rPr>
          <w:rFonts w:cstheme="minorHAnsi"/>
          <w:sz w:val="22"/>
        </w:rPr>
        <w:t>R4-</w:t>
      </w:r>
      <w:proofErr w:type="gramStart"/>
      <w:r w:rsidRPr="007F448E">
        <w:rPr>
          <w:rFonts w:cstheme="minorHAnsi"/>
          <w:sz w:val="22"/>
        </w:rPr>
        <w:t>2419795</w:t>
      </w:r>
      <w:r w:rsidRPr="007F448E">
        <w:rPr>
          <w:rFonts w:cstheme="minorHAnsi"/>
          <w:b/>
          <w:bCs/>
          <w:sz w:val="22"/>
        </w:rPr>
        <w:t xml:space="preserve">,  </w:t>
      </w:r>
      <w:r w:rsidRPr="007F448E">
        <w:rPr>
          <w:rFonts w:cstheme="minorHAnsi"/>
          <w:i/>
          <w:iCs/>
          <w:sz w:val="22"/>
        </w:rPr>
        <w:t>Way</w:t>
      </w:r>
      <w:proofErr w:type="gramEnd"/>
      <w:r w:rsidRPr="007F448E">
        <w:rPr>
          <w:rFonts w:cstheme="minorHAnsi"/>
          <w:i/>
          <w:iCs/>
          <w:sz w:val="22"/>
        </w:rPr>
        <w:t xml:space="preserve"> Forward for [113][317] </w:t>
      </w:r>
      <w:proofErr w:type="spellStart"/>
      <w:r w:rsidRPr="007F448E">
        <w:rPr>
          <w:rFonts w:cstheme="minorHAnsi"/>
          <w:i/>
          <w:iCs/>
          <w:sz w:val="22"/>
        </w:rPr>
        <w:t>IoT_NTN_TDD</w:t>
      </w:r>
      <w:proofErr w:type="spellEnd"/>
      <w:r w:rsidRPr="007F448E">
        <w:rPr>
          <w:rFonts w:cstheme="minorHAnsi"/>
          <w:sz w:val="22"/>
        </w:rPr>
        <w:t xml:space="preserve">, </w:t>
      </w:r>
      <w:r w:rsidRPr="007F448E">
        <w:rPr>
          <w:rFonts w:cstheme="minorHAnsi"/>
          <w:b/>
          <w:bCs/>
          <w:sz w:val="22"/>
        </w:rPr>
        <w:t xml:space="preserve">  </w:t>
      </w:r>
      <w:r w:rsidRPr="007F448E">
        <w:rPr>
          <w:rFonts w:cstheme="minorHAnsi"/>
          <w:sz w:val="22"/>
        </w:rPr>
        <w:t>Moderator (Qualcomm Incorporated),  RAN4 #113, Orlando, US, 18th – 22nd November, 2024</w:t>
      </w:r>
      <w:bookmarkEnd w:id="25"/>
      <w:r w:rsidR="003904C6">
        <w:rPr>
          <w:rFonts w:cstheme="minorHAnsi"/>
          <w:sz w:val="22"/>
          <w:lang w:val="en-US"/>
        </w:rPr>
        <w:tab/>
      </w:r>
      <w:bookmarkEnd w:id="20"/>
      <w:bookmarkEnd w:id="21"/>
      <w:bookmarkEnd w:id="22"/>
      <w:bookmarkEnd w:id="23"/>
      <w:bookmarkEnd w:id="24"/>
    </w:p>
    <w:p w14:paraId="6E801D5C" w14:textId="4A3952F2" w:rsidR="009A2422" w:rsidRPr="00243917" w:rsidRDefault="009A2422" w:rsidP="00243917">
      <w:pPr>
        <w:pStyle w:val="ListParagraph"/>
        <w:numPr>
          <w:ilvl w:val="0"/>
          <w:numId w:val="21"/>
        </w:numPr>
        <w:spacing w:line="276" w:lineRule="auto"/>
        <w:rPr>
          <w:rFonts w:cstheme="minorHAnsi"/>
          <w:sz w:val="22"/>
          <w:lang w:val="en-US"/>
        </w:rPr>
      </w:pPr>
      <w:bookmarkStart w:id="26" w:name="_Ref189740478"/>
      <w:r w:rsidRPr="009A2422">
        <w:rPr>
          <w:rFonts w:cstheme="minorHAnsi"/>
          <w:sz w:val="22"/>
        </w:rPr>
        <w:t>RP-243293</w:t>
      </w:r>
      <w:r>
        <w:rPr>
          <w:rFonts w:cstheme="minorHAnsi"/>
          <w:sz w:val="22"/>
          <w:lang w:val="en-US"/>
        </w:rPr>
        <w:t>, “</w:t>
      </w:r>
      <w:r w:rsidRPr="009A2422">
        <w:rPr>
          <w:rFonts w:cstheme="minorHAnsi"/>
          <w:sz w:val="22"/>
          <w:lang w:val="en-US"/>
        </w:rPr>
        <w:t>Revised WID on introduction of IoT-NTN TDD mode</w:t>
      </w:r>
      <w:r>
        <w:rPr>
          <w:rFonts w:cstheme="minorHAnsi"/>
          <w:sz w:val="22"/>
          <w:lang w:val="en-US"/>
        </w:rPr>
        <w:t>”, Iridium Satellite LLC, RAN#106, December 2025</w:t>
      </w:r>
      <w:bookmarkEnd w:id="26"/>
    </w:p>
    <w:p w14:paraId="2623BD74" w14:textId="77777777" w:rsidR="003904C6" w:rsidRPr="008F786B" w:rsidRDefault="003904C6" w:rsidP="003904C6">
      <w:pPr>
        <w:pStyle w:val="ListParagraph"/>
        <w:numPr>
          <w:ilvl w:val="0"/>
          <w:numId w:val="21"/>
        </w:numPr>
        <w:ind w:right="-22"/>
      </w:pPr>
      <w:bookmarkStart w:id="27" w:name="_Ref181795254"/>
      <w:r w:rsidRPr="00B02230">
        <w:t>R1-2409038</w:t>
      </w:r>
      <w:r>
        <w:t>, “</w:t>
      </w:r>
      <w:r w:rsidRPr="00B02230">
        <w:t>Feature lead summary #1 on IoT-NTN TDD mode</w:t>
      </w:r>
      <w:proofErr w:type="gramStart"/>
      <w:r>
        <w:t>” ,</w:t>
      </w:r>
      <w:proofErr w:type="gramEnd"/>
      <w:r>
        <w:t xml:space="preserve"> Qualcomm, RAN1#118bis</w:t>
      </w:r>
      <w:bookmarkEnd w:id="27"/>
    </w:p>
    <w:p w14:paraId="4427BFAA" w14:textId="77777777" w:rsidR="003904C6" w:rsidRPr="008F786B" w:rsidRDefault="003904C6" w:rsidP="003904C6">
      <w:pPr>
        <w:pStyle w:val="ListParagraph"/>
        <w:numPr>
          <w:ilvl w:val="0"/>
          <w:numId w:val="21"/>
        </w:numPr>
        <w:ind w:right="-22"/>
      </w:pPr>
      <w:r w:rsidRPr="00AB16A6">
        <w:t>R1-2409341</w:t>
      </w:r>
      <w:r>
        <w:t>, “</w:t>
      </w:r>
      <w:r w:rsidRPr="00AB16A6">
        <w:t>Report of RAN1#118bis meeting</w:t>
      </w:r>
      <w:r>
        <w:t xml:space="preserve">”, RAN1 #119, preview on RAN1 Chair’s Notes found in: </w:t>
      </w:r>
      <w:hyperlink r:id="rId17" w:tgtFrame="_blank" w:tooltip="https://www.3gpp.org/ftp/tsg_ran/wg1_rl1/tsgr1_118b/inbox/chair_notes/chair%20notes%20ran1%23118bis%20eom0.zip" w:history="1">
        <w:r w:rsidRPr="00AB16A6">
          <w:rPr>
            <w:rStyle w:val="Hyperlink"/>
          </w:rPr>
          <w:t>https://www.3gpp.org/ftp/TSG_RAN/WG1_RL1/TSGR1_118b/Inbox/Chair_notes/Chair%20notes%20RAN1%23118bis%20eom0.zip</w:t>
        </w:r>
      </w:hyperlink>
    </w:p>
    <w:p w14:paraId="3301AF6C"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Mads Lauridsen (Nokia)" w:date="2025-02-06T21:32:00Z" w:initials="ML">
    <w:p w14:paraId="683D07B0" w14:textId="77777777" w:rsidR="00EE5395" w:rsidRDefault="00EE5395" w:rsidP="00EE5395">
      <w:pPr>
        <w:pStyle w:val="CommentText"/>
      </w:pPr>
      <w:r>
        <w:rPr>
          <w:rStyle w:val="CommentReference"/>
        </w:rPr>
        <w:annotationRef/>
      </w:r>
      <w:r>
        <w:t>If you find it useful you can list this RAN1 #119 agreement:</w:t>
      </w:r>
    </w:p>
    <w:p w14:paraId="085CCEAC" w14:textId="77777777" w:rsidR="00EE5395" w:rsidRDefault="00EE5395" w:rsidP="00EE5395">
      <w:pPr>
        <w:pStyle w:val="CommentText"/>
      </w:pPr>
    </w:p>
    <w:p w14:paraId="6B7146E4" w14:textId="77777777" w:rsidR="00EE5395" w:rsidRDefault="00EE5395" w:rsidP="00EE5395">
      <w:pPr>
        <w:pStyle w:val="CommentText"/>
      </w:pPr>
      <w:r>
        <w:rPr>
          <w:color w:val="000000"/>
        </w:rPr>
        <w:t>Agreement</w:t>
      </w:r>
    </w:p>
    <w:p w14:paraId="73B991AF" w14:textId="77777777" w:rsidR="00EE5395" w:rsidRDefault="00EE5395" w:rsidP="00EE5395">
      <w:pPr>
        <w:pStyle w:val="CommentText"/>
      </w:pPr>
      <w:r>
        <w:rPr>
          <w:color w:val="000000"/>
        </w:rPr>
        <w:t>The offset between the 90ms TDD structure and the 10240ms H-SFN is to be studied considering at least the following options:</w:t>
      </w:r>
    </w:p>
    <w:p w14:paraId="3116E654" w14:textId="77777777" w:rsidR="00EE5395" w:rsidRDefault="00EE5395" w:rsidP="00EE5395">
      <w:pPr>
        <w:pStyle w:val="CommentText"/>
      </w:pPr>
      <w:r>
        <w:rPr>
          <w:color w:val="000000"/>
        </w:rPr>
        <w:t>· Option 1: Always the same across H-SFNs.</w:t>
      </w:r>
    </w:p>
    <w:p w14:paraId="568EF2D1" w14:textId="77777777" w:rsidR="00EE5395" w:rsidRDefault="00EE5395" w:rsidP="00EE5395">
      <w:pPr>
        <w:pStyle w:val="CommentText"/>
      </w:pPr>
      <w:r>
        <w:rPr>
          <w:color w:val="000000"/>
        </w:rPr>
        <w:t>o Option 1-1: H-SFN duration is changed to X radio frames, with X a multiple of 9.</w:t>
      </w:r>
    </w:p>
    <w:p w14:paraId="45060EA6" w14:textId="77777777" w:rsidR="00EE5395" w:rsidRDefault="00EE5395" w:rsidP="00EE5395">
      <w:pPr>
        <w:pStyle w:val="CommentText"/>
      </w:pPr>
      <w:r>
        <w:rPr>
          <w:color w:val="000000"/>
        </w:rPr>
        <w:t>o Option 1-2: H-SFN duration is unchanged</w:t>
      </w:r>
    </w:p>
    <w:p w14:paraId="146CBE2A" w14:textId="77777777" w:rsidR="00EE5395" w:rsidRDefault="00EE5395" w:rsidP="00EE5395">
      <w:pPr>
        <w:pStyle w:val="CommentText"/>
      </w:pPr>
      <w:r>
        <w:rPr>
          <w:color w:val="000000"/>
        </w:rPr>
        <w:t>· Option 2: Different across some H-SFNs.</w:t>
      </w:r>
    </w:p>
    <w:p w14:paraId="2AC80C27" w14:textId="77777777" w:rsidR="00EE5395" w:rsidRDefault="00EE5395" w:rsidP="00EE5395">
      <w:pPr>
        <w:pStyle w:val="CommentText"/>
      </w:pPr>
      <w:r>
        <w:rPr>
          <w:color w:val="000000"/>
        </w:rPr>
        <w:t>o Option 2-1: UE is indicated (implicitly or explicitly) the offset between H-SFN and 90ms TDD structure based on some downlink signal (e.g. one of NPSS/NSSS/NPBCH/SIB1-NB)</w:t>
      </w:r>
    </w:p>
    <w:p w14:paraId="3911CDFB" w14:textId="77777777" w:rsidR="00EE5395" w:rsidRDefault="00EE5395" w:rsidP="00EE5395">
      <w:pPr>
        <w:pStyle w:val="CommentText"/>
      </w:pPr>
      <w:r>
        <w:rPr>
          <w:color w:val="000000"/>
        </w:rPr>
        <w:t>o Option 2-2: Total number of H-SFN is changed to be a multiple of 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11CDF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C66713" w16cex:dateUtc="2025-02-06T2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11CDFB" w16cid:durableId="3EC667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D308A" w14:textId="77777777" w:rsidR="009D7F2C" w:rsidRDefault="009D7F2C" w:rsidP="00001C9B">
      <w:pPr>
        <w:spacing w:after="0" w:line="240" w:lineRule="auto"/>
      </w:pPr>
      <w:r>
        <w:separator/>
      </w:r>
    </w:p>
  </w:endnote>
  <w:endnote w:type="continuationSeparator" w:id="0">
    <w:p w14:paraId="29E7F911" w14:textId="77777777" w:rsidR="009D7F2C" w:rsidRDefault="009D7F2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D8DBD" w14:textId="77777777" w:rsidR="009D7F2C" w:rsidRDefault="009D7F2C" w:rsidP="00001C9B">
      <w:pPr>
        <w:spacing w:after="0" w:line="240" w:lineRule="auto"/>
      </w:pPr>
      <w:r>
        <w:separator/>
      </w:r>
    </w:p>
  </w:footnote>
  <w:footnote w:type="continuationSeparator" w:id="0">
    <w:p w14:paraId="5C515E2D" w14:textId="77777777" w:rsidR="009D7F2C" w:rsidRDefault="009D7F2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BB62DB"/>
    <w:multiLevelType w:val="hybridMultilevel"/>
    <w:tmpl w:val="F5AA27B6"/>
    <w:lvl w:ilvl="0" w:tplc="FFFFFFFF">
      <w:start w:val="1"/>
      <w:numFmt w:val="bullet"/>
      <w:lvlText w:val=""/>
      <w:lvlJc w:val="left"/>
      <w:pPr>
        <w:ind w:left="284" w:hanging="360"/>
      </w:pPr>
      <w:rPr>
        <w:rFonts w:ascii="Symbol" w:hAnsi="Symbol" w:hint="default"/>
      </w:rPr>
    </w:lvl>
    <w:lvl w:ilvl="1" w:tplc="0409000F">
      <w:start w:val="1"/>
      <w:numFmt w:val="decimal"/>
      <w:lvlText w:val="%2."/>
      <w:lvlJc w:val="left"/>
      <w:pPr>
        <w:ind w:left="1004" w:hanging="360"/>
      </w:pPr>
    </w:lvl>
    <w:lvl w:ilvl="2" w:tplc="FFFFFFFF">
      <w:start w:val="1"/>
      <w:numFmt w:val="bullet"/>
      <w:lvlText w:val=""/>
      <w:lvlJc w:val="left"/>
      <w:pPr>
        <w:ind w:left="1724" w:hanging="360"/>
      </w:pPr>
      <w:rPr>
        <w:rFonts w:ascii="Wingdings" w:hAnsi="Wingdings" w:hint="default"/>
      </w:rPr>
    </w:lvl>
    <w:lvl w:ilvl="3" w:tplc="FFFFFFFF">
      <w:start w:val="1"/>
      <w:numFmt w:val="bullet"/>
      <w:lvlText w:val=""/>
      <w:lvlJc w:val="left"/>
      <w:pPr>
        <w:ind w:left="2444" w:hanging="360"/>
      </w:pPr>
      <w:rPr>
        <w:rFonts w:ascii="Symbol" w:hAnsi="Symbol" w:hint="default"/>
      </w:rPr>
    </w:lvl>
    <w:lvl w:ilvl="4" w:tplc="FFFFFFFF">
      <w:start w:val="1"/>
      <w:numFmt w:val="bullet"/>
      <w:lvlText w:val="o"/>
      <w:lvlJc w:val="left"/>
      <w:pPr>
        <w:ind w:left="3164" w:hanging="360"/>
      </w:pPr>
      <w:rPr>
        <w:rFonts w:ascii="Courier New" w:hAnsi="Courier New" w:cs="Courier New" w:hint="default"/>
      </w:rPr>
    </w:lvl>
    <w:lvl w:ilvl="5" w:tplc="FFFFFFFF">
      <w:start w:val="1"/>
      <w:numFmt w:val="bullet"/>
      <w:lvlText w:val=""/>
      <w:lvlJc w:val="left"/>
      <w:pPr>
        <w:ind w:left="3884" w:hanging="360"/>
      </w:pPr>
      <w:rPr>
        <w:rFonts w:ascii="Wingdings" w:hAnsi="Wingdings" w:hint="default"/>
      </w:rPr>
    </w:lvl>
    <w:lvl w:ilvl="6" w:tplc="FFFFFFFF">
      <w:start w:val="1"/>
      <w:numFmt w:val="bullet"/>
      <w:lvlText w:val=""/>
      <w:lvlJc w:val="left"/>
      <w:pPr>
        <w:ind w:left="4604" w:hanging="360"/>
      </w:pPr>
      <w:rPr>
        <w:rFonts w:ascii="Symbol" w:hAnsi="Symbol" w:hint="default"/>
      </w:rPr>
    </w:lvl>
    <w:lvl w:ilvl="7" w:tplc="FFFFFFFF">
      <w:start w:val="1"/>
      <w:numFmt w:val="bullet"/>
      <w:lvlText w:val="o"/>
      <w:lvlJc w:val="left"/>
      <w:pPr>
        <w:ind w:left="5324" w:hanging="360"/>
      </w:pPr>
      <w:rPr>
        <w:rFonts w:ascii="Courier New" w:hAnsi="Courier New" w:cs="Courier New" w:hint="default"/>
      </w:rPr>
    </w:lvl>
    <w:lvl w:ilvl="8" w:tplc="FFFFFFFF">
      <w:start w:val="1"/>
      <w:numFmt w:val="bullet"/>
      <w:lvlText w:val=""/>
      <w:lvlJc w:val="left"/>
      <w:pPr>
        <w:ind w:left="6044"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DE54BD"/>
    <w:multiLevelType w:val="hybridMultilevel"/>
    <w:tmpl w:val="3C68CC92"/>
    <w:lvl w:ilvl="0" w:tplc="AD2E70DC">
      <w:start w:val="1"/>
      <w:numFmt w:val="bullet"/>
      <w:lvlText w:val=""/>
      <w:lvlJc w:val="left"/>
      <w:pPr>
        <w:tabs>
          <w:tab w:val="num" w:pos="720"/>
        </w:tabs>
        <w:ind w:left="720" w:hanging="360"/>
      </w:pPr>
      <w:rPr>
        <w:rFonts w:ascii="Symbol" w:hAnsi="Symbol" w:hint="default"/>
      </w:rPr>
    </w:lvl>
    <w:lvl w:ilvl="1" w:tplc="2CD06BCE">
      <w:numFmt w:val="bullet"/>
      <w:lvlText w:val="o"/>
      <w:lvlJc w:val="left"/>
      <w:pPr>
        <w:tabs>
          <w:tab w:val="num" w:pos="1440"/>
        </w:tabs>
        <w:ind w:left="1440" w:hanging="360"/>
      </w:pPr>
      <w:rPr>
        <w:rFonts w:ascii="Courier New" w:hAnsi="Courier New" w:hint="default"/>
      </w:rPr>
    </w:lvl>
    <w:lvl w:ilvl="2" w:tplc="5DF4BA0A" w:tentative="1">
      <w:start w:val="1"/>
      <w:numFmt w:val="bullet"/>
      <w:lvlText w:val=""/>
      <w:lvlJc w:val="left"/>
      <w:pPr>
        <w:tabs>
          <w:tab w:val="num" w:pos="2160"/>
        </w:tabs>
        <w:ind w:left="2160" w:hanging="360"/>
      </w:pPr>
      <w:rPr>
        <w:rFonts w:ascii="Symbol" w:hAnsi="Symbol" w:hint="default"/>
      </w:rPr>
    </w:lvl>
    <w:lvl w:ilvl="3" w:tplc="B382F3C2" w:tentative="1">
      <w:start w:val="1"/>
      <w:numFmt w:val="bullet"/>
      <w:lvlText w:val=""/>
      <w:lvlJc w:val="left"/>
      <w:pPr>
        <w:tabs>
          <w:tab w:val="num" w:pos="2880"/>
        </w:tabs>
        <w:ind w:left="2880" w:hanging="360"/>
      </w:pPr>
      <w:rPr>
        <w:rFonts w:ascii="Symbol" w:hAnsi="Symbol" w:hint="default"/>
      </w:rPr>
    </w:lvl>
    <w:lvl w:ilvl="4" w:tplc="FC8C279A" w:tentative="1">
      <w:start w:val="1"/>
      <w:numFmt w:val="bullet"/>
      <w:lvlText w:val=""/>
      <w:lvlJc w:val="left"/>
      <w:pPr>
        <w:tabs>
          <w:tab w:val="num" w:pos="3600"/>
        </w:tabs>
        <w:ind w:left="3600" w:hanging="360"/>
      </w:pPr>
      <w:rPr>
        <w:rFonts w:ascii="Symbol" w:hAnsi="Symbol" w:hint="default"/>
      </w:rPr>
    </w:lvl>
    <w:lvl w:ilvl="5" w:tplc="C42C74EE" w:tentative="1">
      <w:start w:val="1"/>
      <w:numFmt w:val="bullet"/>
      <w:lvlText w:val=""/>
      <w:lvlJc w:val="left"/>
      <w:pPr>
        <w:tabs>
          <w:tab w:val="num" w:pos="4320"/>
        </w:tabs>
        <w:ind w:left="4320" w:hanging="360"/>
      </w:pPr>
      <w:rPr>
        <w:rFonts w:ascii="Symbol" w:hAnsi="Symbol" w:hint="default"/>
      </w:rPr>
    </w:lvl>
    <w:lvl w:ilvl="6" w:tplc="5CB05848" w:tentative="1">
      <w:start w:val="1"/>
      <w:numFmt w:val="bullet"/>
      <w:lvlText w:val=""/>
      <w:lvlJc w:val="left"/>
      <w:pPr>
        <w:tabs>
          <w:tab w:val="num" w:pos="5040"/>
        </w:tabs>
        <w:ind w:left="5040" w:hanging="360"/>
      </w:pPr>
      <w:rPr>
        <w:rFonts w:ascii="Symbol" w:hAnsi="Symbol" w:hint="default"/>
      </w:rPr>
    </w:lvl>
    <w:lvl w:ilvl="7" w:tplc="53FA06BA" w:tentative="1">
      <w:start w:val="1"/>
      <w:numFmt w:val="bullet"/>
      <w:lvlText w:val=""/>
      <w:lvlJc w:val="left"/>
      <w:pPr>
        <w:tabs>
          <w:tab w:val="num" w:pos="5760"/>
        </w:tabs>
        <w:ind w:left="5760" w:hanging="360"/>
      </w:pPr>
      <w:rPr>
        <w:rFonts w:ascii="Symbol" w:hAnsi="Symbol" w:hint="default"/>
      </w:rPr>
    </w:lvl>
    <w:lvl w:ilvl="8" w:tplc="7FE2960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90956CE"/>
    <w:multiLevelType w:val="hybridMultilevel"/>
    <w:tmpl w:val="CB5AB02E"/>
    <w:lvl w:ilvl="0" w:tplc="7B62BBAA">
      <w:start w:val="1"/>
      <w:numFmt w:val="bullet"/>
      <w:lvlText w:val=""/>
      <w:lvlJc w:val="left"/>
      <w:pPr>
        <w:tabs>
          <w:tab w:val="num" w:pos="720"/>
        </w:tabs>
        <w:ind w:left="720" w:hanging="360"/>
      </w:pPr>
      <w:rPr>
        <w:rFonts w:ascii="Symbol" w:hAnsi="Symbol" w:hint="default"/>
      </w:rPr>
    </w:lvl>
    <w:lvl w:ilvl="1" w:tplc="EB2CA866" w:tentative="1">
      <w:start w:val="1"/>
      <w:numFmt w:val="bullet"/>
      <w:lvlText w:val=""/>
      <w:lvlJc w:val="left"/>
      <w:pPr>
        <w:tabs>
          <w:tab w:val="num" w:pos="1440"/>
        </w:tabs>
        <w:ind w:left="1440" w:hanging="360"/>
      </w:pPr>
      <w:rPr>
        <w:rFonts w:ascii="Symbol" w:hAnsi="Symbol" w:hint="default"/>
      </w:rPr>
    </w:lvl>
    <w:lvl w:ilvl="2" w:tplc="E2905368" w:tentative="1">
      <w:start w:val="1"/>
      <w:numFmt w:val="bullet"/>
      <w:lvlText w:val=""/>
      <w:lvlJc w:val="left"/>
      <w:pPr>
        <w:tabs>
          <w:tab w:val="num" w:pos="2160"/>
        </w:tabs>
        <w:ind w:left="2160" w:hanging="360"/>
      </w:pPr>
      <w:rPr>
        <w:rFonts w:ascii="Symbol" w:hAnsi="Symbol" w:hint="default"/>
      </w:rPr>
    </w:lvl>
    <w:lvl w:ilvl="3" w:tplc="1700C79A" w:tentative="1">
      <w:start w:val="1"/>
      <w:numFmt w:val="bullet"/>
      <w:lvlText w:val=""/>
      <w:lvlJc w:val="left"/>
      <w:pPr>
        <w:tabs>
          <w:tab w:val="num" w:pos="2880"/>
        </w:tabs>
        <w:ind w:left="2880" w:hanging="360"/>
      </w:pPr>
      <w:rPr>
        <w:rFonts w:ascii="Symbol" w:hAnsi="Symbol" w:hint="default"/>
      </w:rPr>
    </w:lvl>
    <w:lvl w:ilvl="4" w:tplc="EA3A7198" w:tentative="1">
      <w:start w:val="1"/>
      <w:numFmt w:val="bullet"/>
      <w:lvlText w:val=""/>
      <w:lvlJc w:val="left"/>
      <w:pPr>
        <w:tabs>
          <w:tab w:val="num" w:pos="3600"/>
        </w:tabs>
        <w:ind w:left="3600" w:hanging="360"/>
      </w:pPr>
      <w:rPr>
        <w:rFonts w:ascii="Symbol" w:hAnsi="Symbol" w:hint="default"/>
      </w:rPr>
    </w:lvl>
    <w:lvl w:ilvl="5" w:tplc="452AABF8" w:tentative="1">
      <w:start w:val="1"/>
      <w:numFmt w:val="bullet"/>
      <w:lvlText w:val=""/>
      <w:lvlJc w:val="left"/>
      <w:pPr>
        <w:tabs>
          <w:tab w:val="num" w:pos="4320"/>
        </w:tabs>
        <w:ind w:left="4320" w:hanging="360"/>
      </w:pPr>
      <w:rPr>
        <w:rFonts w:ascii="Symbol" w:hAnsi="Symbol" w:hint="default"/>
      </w:rPr>
    </w:lvl>
    <w:lvl w:ilvl="6" w:tplc="E5FCA660" w:tentative="1">
      <w:start w:val="1"/>
      <w:numFmt w:val="bullet"/>
      <w:lvlText w:val=""/>
      <w:lvlJc w:val="left"/>
      <w:pPr>
        <w:tabs>
          <w:tab w:val="num" w:pos="5040"/>
        </w:tabs>
        <w:ind w:left="5040" w:hanging="360"/>
      </w:pPr>
      <w:rPr>
        <w:rFonts w:ascii="Symbol" w:hAnsi="Symbol" w:hint="default"/>
      </w:rPr>
    </w:lvl>
    <w:lvl w:ilvl="7" w:tplc="3FE6D5AA" w:tentative="1">
      <w:start w:val="1"/>
      <w:numFmt w:val="bullet"/>
      <w:lvlText w:val=""/>
      <w:lvlJc w:val="left"/>
      <w:pPr>
        <w:tabs>
          <w:tab w:val="num" w:pos="5760"/>
        </w:tabs>
        <w:ind w:left="5760" w:hanging="360"/>
      </w:pPr>
      <w:rPr>
        <w:rFonts w:ascii="Symbol" w:hAnsi="Symbol" w:hint="default"/>
      </w:rPr>
    </w:lvl>
    <w:lvl w:ilvl="8" w:tplc="998AE83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start w:val="1"/>
      <w:numFmt w:val="bullet"/>
      <w:lvlText w:val=""/>
      <w:lvlJc w:val="left"/>
      <w:pPr>
        <w:ind w:left="2444" w:hanging="360"/>
      </w:pPr>
      <w:rPr>
        <w:rFonts w:ascii="Symbol" w:hAnsi="Symbol" w:hint="default"/>
      </w:rPr>
    </w:lvl>
    <w:lvl w:ilvl="4" w:tplc="04090003">
      <w:start w:val="1"/>
      <w:numFmt w:val="bullet"/>
      <w:lvlText w:val="o"/>
      <w:lvlJc w:val="left"/>
      <w:pPr>
        <w:ind w:left="3164" w:hanging="360"/>
      </w:pPr>
      <w:rPr>
        <w:rFonts w:ascii="Courier New" w:hAnsi="Courier New" w:cs="Courier New" w:hint="default"/>
      </w:rPr>
    </w:lvl>
    <w:lvl w:ilvl="5" w:tplc="04090005">
      <w:start w:val="1"/>
      <w:numFmt w:val="bullet"/>
      <w:lvlText w:val=""/>
      <w:lvlJc w:val="left"/>
      <w:pPr>
        <w:ind w:left="3884" w:hanging="360"/>
      </w:pPr>
      <w:rPr>
        <w:rFonts w:ascii="Wingdings" w:hAnsi="Wingdings" w:hint="default"/>
      </w:rPr>
    </w:lvl>
    <w:lvl w:ilvl="6" w:tplc="04090001">
      <w:start w:val="1"/>
      <w:numFmt w:val="bullet"/>
      <w:lvlText w:val=""/>
      <w:lvlJc w:val="left"/>
      <w:pPr>
        <w:ind w:left="4604" w:hanging="360"/>
      </w:pPr>
      <w:rPr>
        <w:rFonts w:ascii="Symbol" w:hAnsi="Symbol" w:hint="default"/>
      </w:rPr>
    </w:lvl>
    <w:lvl w:ilvl="7" w:tplc="04090003">
      <w:start w:val="1"/>
      <w:numFmt w:val="bullet"/>
      <w:lvlText w:val="o"/>
      <w:lvlJc w:val="left"/>
      <w:pPr>
        <w:ind w:left="5324" w:hanging="360"/>
      </w:pPr>
      <w:rPr>
        <w:rFonts w:ascii="Courier New" w:hAnsi="Courier New" w:cs="Courier New" w:hint="default"/>
      </w:rPr>
    </w:lvl>
    <w:lvl w:ilvl="8" w:tplc="04090005">
      <w:start w:val="1"/>
      <w:numFmt w:val="bullet"/>
      <w:lvlText w:val=""/>
      <w:lvlJc w:val="left"/>
      <w:pPr>
        <w:ind w:left="6044"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3"/>
  </w:num>
  <w:num w:numId="4" w16cid:durableId="517735681">
    <w:abstractNumId w:val="6"/>
  </w:num>
  <w:num w:numId="5" w16cid:durableId="1142041724">
    <w:abstractNumId w:val="17"/>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18"/>
  </w:num>
  <w:num w:numId="16" w16cid:durableId="516113510">
    <w:abstractNumId w:val="5"/>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4"/>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19"/>
  </w:num>
  <w:num w:numId="28" w16cid:durableId="2095668156">
    <w:abstractNumId w:val="4"/>
  </w:num>
  <w:num w:numId="29" w16cid:durableId="17424062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83007932">
    <w:abstractNumId w:val="15"/>
  </w:num>
  <w:num w:numId="31" w16cid:durableId="496577687">
    <w:abstractNumId w:val="15"/>
  </w:num>
  <w:num w:numId="32" w16cid:durableId="1177117538">
    <w:abstractNumId w:val="3"/>
  </w:num>
  <w:num w:numId="33" w16cid:durableId="318581189">
    <w:abstractNumId w:val="8"/>
  </w:num>
  <w:num w:numId="34" w16cid:durableId="9847750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ds Lauridsen (Nokia)">
    <w15:presenceInfo w15:providerId="AD" w15:userId="S::mads.lauridsen@nokia.com::973eae77-5b03-406b-a6fd-b7b308652d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61D28"/>
    <w:rsid w:val="00001C9B"/>
    <w:rsid w:val="000040DC"/>
    <w:rsid w:val="00007D80"/>
    <w:rsid w:val="00011784"/>
    <w:rsid w:val="000151EF"/>
    <w:rsid w:val="000239F5"/>
    <w:rsid w:val="000646BC"/>
    <w:rsid w:val="00072CCA"/>
    <w:rsid w:val="0007601C"/>
    <w:rsid w:val="00081544"/>
    <w:rsid w:val="0008612A"/>
    <w:rsid w:val="00090E18"/>
    <w:rsid w:val="000A10BC"/>
    <w:rsid w:val="000A7F53"/>
    <w:rsid w:val="000B0056"/>
    <w:rsid w:val="000C3C7B"/>
    <w:rsid w:val="000D0F93"/>
    <w:rsid w:val="000F76A7"/>
    <w:rsid w:val="00106416"/>
    <w:rsid w:val="00110481"/>
    <w:rsid w:val="001127C9"/>
    <w:rsid w:val="00114498"/>
    <w:rsid w:val="00115B88"/>
    <w:rsid w:val="00132D8C"/>
    <w:rsid w:val="00132F6A"/>
    <w:rsid w:val="00133913"/>
    <w:rsid w:val="00140221"/>
    <w:rsid w:val="00161913"/>
    <w:rsid w:val="001642FC"/>
    <w:rsid w:val="0016496B"/>
    <w:rsid w:val="001743E2"/>
    <w:rsid w:val="001745F8"/>
    <w:rsid w:val="001838CF"/>
    <w:rsid w:val="001868EE"/>
    <w:rsid w:val="001A3BA4"/>
    <w:rsid w:val="001A5CCD"/>
    <w:rsid w:val="001A6D1F"/>
    <w:rsid w:val="001B1EA8"/>
    <w:rsid w:val="001E30F6"/>
    <w:rsid w:val="00216379"/>
    <w:rsid w:val="00217EE5"/>
    <w:rsid w:val="0023559D"/>
    <w:rsid w:val="00235F5C"/>
    <w:rsid w:val="0024235F"/>
    <w:rsid w:val="002433E2"/>
    <w:rsid w:val="00243917"/>
    <w:rsid w:val="00257FA3"/>
    <w:rsid w:val="00277B56"/>
    <w:rsid w:val="00282A74"/>
    <w:rsid w:val="002849D4"/>
    <w:rsid w:val="00295E70"/>
    <w:rsid w:val="002A19F5"/>
    <w:rsid w:val="002B4922"/>
    <w:rsid w:val="002B69F3"/>
    <w:rsid w:val="002C22C3"/>
    <w:rsid w:val="002C2D19"/>
    <w:rsid w:val="002D10FA"/>
    <w:rsid w:val="002D4C55"/>
    <w:rsid w:val="002E6DED"/>
    <w:rsid w:val="002F09CC"/>
    <w:rsid w:val="00300956"/>
    <w:rsid w:val="00307EE8"/>
    <w:rsid w:val="00317187"/>
    <w:rsid w:val="0032499A"/>
    <w:rsid w:val="003341F7"/>
    <w:rsid w:val="00347FEC"/>
    <w:rsid w:val="003509DF"/>
    <w:rsid w:val="00356F45"/>
    <w:rsid w:val="00366B74"/>
    <w:rsid w:val="0036769A"/>
    <w:rsid w:val="003774C0"/>
    <w:rsid w:val="00381F95"/>
    <w:rsid w:val="003904C6"/>
    <w:rsid w:val="003A710A"/>
    <w:rsid w:val="003B659E"/>
    <w:rsid w:val="003C275E"/>
    <w:rsid w:val="003C4FDE"/>
    <w:rsid w:val="003D0DA0"/>
    <w:rsid w:val="003E58DF"/>
    <w:rsid w:val="003F7007"/>
    <w:rsid w:val="00404C4C"/>
    <w:rsid w:val="0041423F"/>
    <w:rsid w:val="00414F81"/>
    <w:rsid w:val="00426B9A"/>
    <w:rsid w:val="00436A0F"/>
    <w:rsid w:val="00437150"/>
    <w:rsid w:val="0043750A"/>
    <w:rsid w:val="00447577"/>
    <w:rsid w:val="00461D28"/>
    <w:rsid w:val="004732E9"/>
    <w:rsid w:val="00484CBA"/>
    <w:rsid w:val="004854BB"/>
    <w:rsid w:val="00494493"/>
    <w:rsid w:val="00496606"/>
    <w:rsid w:val="004A0488"/>
    <w:rsid w:val="004E5E66"/>
    <w:rsid w:val="004E7ADB"/>
    <w:rsid w:val="00503B4D"/>
    <w:rsid w:val="00504EE9"/>
    <w:rsid w:val="00514E4F"/>
    <w:rsid w:val="00521576"/>
    <w:rsid w:val="005250E6"/>
    <w:rsid w:val="00534F9B"/>
    <w:rsid w:val="00542D23"/>
    <w:rsid w:val="0054442C"/>
    <w:rsid w:val="00550285"/>
    <w:rsid w:val="00562492"/>
    <w:rsid w:val="005624E0"/>
    <w:rsid w:val="00566D67"/>
    <w:rsid w:val="00572A20"/>
    <w:rsid w:val="00581618"/>
    <w:rsid w:val="005836F8"/>
    <w:rsid w:val="0059043F"/>
    <w:rsid w:val="005918FA"/>
    <w:rsid w:val="00592A86"/>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64950"/>
    <w:rsid w:val="00683220"/>
    <w:rsid w:val="0068781B"/>
    <w:rsid w:val="00687FA0"/>
    <w:rsid w:val="006A3C11"/>
    <w:rsid w:val="006B7010"/>
    <w:rsid w:val="006C3095"/>
    <w:rsid w:val="006E1151"/>
    <w:rsid w:val="006E6311"/>
    <w:rsid w:val="00701D91"/>
    <w:rsid w:val="007145FF"/>
    <w:rsid w:val="00715634"/>
    <w:rsid w:val="00715B2A"/>
    <w:rsid w:val="00733B21"/>
    <w:rsid w:val="007376A9"/>
    <w:rsid w:val="007450F1"/>
    <w:rsid w:val="00751515"/>
    <w:rsid w:val="007626B7"/>
    <w:rsid w:val="00765F07"/>
    <w:rsid w:val="0078212B"/>
    <w:rsid w:val="00784DF6"/>
    <w:rsid w:val="00785232"/>
    <w:rsid w:val="007A2588"/>
    <w:rsid w:val="007A7A2B"/>
    <w:rsid w:val="007B186C"/>
    <w:rsid w:val="007C1696"/>
    <w:rsid w:val="007C3ED0"/>
    <w:rsid w:val="007C48C4"/>
    <w:rsid w:val="007C5971"/>
    <w:rsid w:val="007E0E24"/>
    <w:rsid w:val="007E42DC"/>
    <w:rsid w:val="007E4668"/>
    <w:rsid w:val="007F448E"/>
    <w:rsid w:val="007F54B9"/>
    <w:rsid w:val="00806A76"/>
    <w:rsid w:val="00811C9D"/>
    <w:rsid w:val="00816C80"/>
    <w:rsid w:val="0081797B"/>
    <w:rsid w:val="0082796A"/>
    <w:rsid w:val="00834C8E"/>
    <w:rsid w:val="0083707A"/>
    <w:rsid w:val="00841BCD"/>
    <w:rsid w:val="00847264"/>
    <w:rsid w:val="00851A8E"/>
    <w:rsid w:val="0085365B"/>
    <w:rsid w:val="008826C1"/>
    <w:rsid w:val="00883DFD"/>
    <w:rsid w:val="0089210C"/>
    <w:rsid w:val="00893D2E"/>
    <w:rsid w:val="008A1BF7"/>
    <w:rsid w:val="008A5B0E"/>
    <w:rsid w:val="008B0961"/>
    <w:rsid w:val="008C39F7"/>
    <w:rsid w:val="008F786B"/>
    <w:rsid w:val="0090091A"/>
    <w:rsid w:val="0090373B"/>
    <w:rsid w:val="009042BD"/>
    <w:rsid w:val="00904FE4"/>
    <w:rsid w:val="00927740"/>
    <w:rsid w:val="009304F4"/>
    <w:rsid w:val="00936159"/>
    <w:rsid w:val="00977E1D"/>
    <w:rsid w:val="009A2422"/>
    <w:rsid w:val="009A32FE"/>
    <w:rsid w:val="009B0573"/>
    <w:rsid w:val="009B7B4B"/>
    <w:rsid w:val="009B7C21"/>
    <w:rsid w:val="009D7F2C"/>
    <w:rsid w:val="009E4E6E"/>
    <w:rsid w:val="009E5FA9"/>
    <w:rsid w:val="009F07D8"/>
    <w:rsid w:val="00A04992"/>
    <w:rsid w:val="00A147AA"/>
    <w:rsid w:val="00A21D71"/>
    <w:rsid w:val="00A22B78"/>
    <w:rsid w:val="00A246F7"/>
    <w:rsid w:val="00A25AE5"/>
    <w:rsid w:val="00A26442"/>
    <w:rsid w:val="00A37002"/>
    <w:rsid w:val="00A4355E"/>
    <w:rsid w:val="00A520D9"/>
    <w:rsid w:val="00A64DA0"/>
    <w:rsid w:val="00A92BCD"/>
    <w:rsid w:val="00A96AA9"/>
    <w:rsid w:val="00AA1B0E"/>
    <w:rsid w:val="00AA47B6"/>
    <w:rsid w:val="00AC163B"/>
    <w:rsid w:val="00AC5CA7"/>
    <w:rsid w:val="00AC6058"/>
    <w:rsid w:val="00AE2BA5"/>
    <w:rsid w:val="00AE56B1"/>
    <w:rsid w:val="00AE6D09"/>
    <w:rsid w:val="00AF7A7C"/>
    <w:rsid w:val="00B02070"/>
    <w:rsid w:val="00B26A8A"/>
    <w:rsid w:val="00B33226"/>
    <w:rsid w:val="00B408B6"/>
    <w:rsid w:val="00B542DA"/>
    <w:rsid w:val="00B66B7D"/>
    <w:rsid w:val="00B73862"/>
    <w:rsid w:val="00B73F43"/>
    <w:rsid w:val="00B75BBF"/>
    <w:rsid w:val="00B81CDC"/>
    <w:rsid w:val="00BA308C"/>
    <w:rsid w:val="00BA6B66"/>
    <w:rsid w:val="00BA6E48"/>
    <w:rsid w:val="00BC005C"/>
    <w:rsid w:val="00BD604D"/>
    <w:rsid w:val="00BE0AF6"/>
    <w:rsid w:val="00BE1F03"/>
    <w:rsid w:val="00BE58A7"/>
    <w:rsid w:val="00BF2218"/>
    <w:rsid w:val="00C0426B"/>
    <w:rsid w:val="00C045DF"/>
    <w:rsid w:val="00C05C45"/>
    <w:rsid w:val="00C26D43"/>
    <w:rsid w:val="00C35173"/>
    <w:rsid w:val="00C43F4A"/>
    <w:rsid w:val="00C46548"/>
    <w:rsid w:val="00C538FF"/>
    <w:rsid w:val="00C574D5"/>
    <w:rsid w:val="00C73F32"/>
    <w:rsid w:val="00C87462"/>
    <w:rsid w:val="00CA180C"/>
    <w:rsid w:val="00CB22B2"/>
    <w:rsid w:val="00CC3EE2"/>
    <w:rsid w:val="00CD6C0E"/>
    <w:rsid w:val="00CD7492"/>
    <w:rsid w:val="00CE3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C7A13"/>
    <w:rsid w:val="00DE7064"/>
    <w:rsid w:val="00DF2997"/>
    <w:rsid w:val="00E10BC4"/>
    <w:rsid w:val="00E1415D"/>
    <w:rsid w:val="00E213BD"/>
    <w:rsid w:val="00E233D3"/>
    <w:rsid w:val="00E323E9"/>
    <w:rsid w:val="00E32FB6"/>
    <w:rsid w:val="00E34018"/>
    <w:rsid w:val="00E437D2"/>
    <w:rsid w:val="00E43BF9"/>
    <w:rsid w:val="00E47BC6"/>
    <w:rsid w:val="00E51930"/>
    <w:rsid w:val="00E54B70"/>
    <w:rsid w:val="00E55751"/>
    <w:rsid w:val="00E5652C"/>
    <w:rsid w:val="00E707E3"/>
    <w:rsid w:val="00E7398E"/>
    <w:rsid w:val="00E82B94"/>
    <w:rsid w:val="00E87217"/>
    <w:rsid w:val="00EA2311"/>
    <w:rsid w:val="00EA606F"/>
    <w:rsid w:val="00EC7BC3"/>
    <w:rsid w:val="00ED7600"/>
    <w:rsid w:val="00EE5395"/>
    <w:rsid w:val="00EF6073"/>
    <w:rsid w:val="00EF698B"/>
    <w:rsid w:val="00F1362C"/>
    <w:rsid w:val="00F209F5"/>
    <w:rsid w:val="00F3094F"/>
    <w:rsid w:val="00F414F1"/>
    <w:rsid w:val="00F508B8"/>
    <w:rsid w:val="00F72CB1"/>
    <w:rsid w:val="00F8215E"/>
    <w:rsid w:val="00F824F5"/>
    <w:rsid w:val="00F82AD6"/>
    <w:rsid w:val="00F90FAB"/>
    <w:rsid w:val="00F9374D"/>
    <w:rsid w:val="00FB6924"/>
    <w:rsid w:val="00FC29B9"/>
    <w:rsid w:val="00FC6FD3"/>
    <w:rsid w:val="00FD5118"/>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6F0C48"/>
  <w15:chartTrackingRefBased/>
  <w15:docId w15:val="{AD55550D-A53A-4DA2-B5AE-C897CBC57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1st level - Bullet List Paragraph,List Paragraph1,Lettre d'introduction,Paragrafo elenco,Normal bullet 2,Bullet list,Numbered List,Task Bod"/>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1st level - Bullet List Paragraph Char,List Paragraph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2F09CC"/>
    <w:rPr>
      <w:color w:val="2B579A"/>
      <w:shd w:val="clear" w:color="auto" w:fill="E1DFDD"/>
    </w:rPr>
  </w:style>
  <w:style w:type="paragraph" w:styleId="Revision">
    <w:name w:val="Revision"/>
    <w:hidden/>
    <w:uiPriority w:val="99"/>
    <w:semiHidden/>
    <w:rsid w:val="004A0488"/>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106927">
      <w:bodyDiv w:val="1"/>
      <w:marLeft w:val="0"/>
      <w:marRight w:val="0"/>
      <w:marTop w:val="0"/>
      <w:marBottom w:val="0"/>
      <w:divBdr>
        <w:top w:val="none" w:sz="0" w:space="0" w:color="auto"/>
        <w:left w:val="none" w:sz="0" w:space="0" w:color="auto"/>
        <w:bottom w:val="none" w:sz="0" w:space="0" w:color="auto"/>
        <w:right w:val="none" w:sz="0" w:space="0" w:color="auto"/>
      </w:divBdr>
    </w:div>
    <w:div w:id="446777088">
      <w:bodyDiv w:val="1"/>
      <w:marLeft w:val="0"/>
      <w:marRight w:val="0"/>
      <w:marTop w:val="0"/>
      <w:marBottom w:val="0"/>
      <w:divBdr>
        <w:top w:val="none" w:sz="0" w:space="0" w:color="auto"/>
        <w:left w:val="none" w:sz="0" w:space="0" w:color="auto"/>
        <w:bottom w:val="none" w:sz="0" w:space="0" w:color="auto"/>
        <w:right w:val="none" w:sz="0" w:space="0" w:color="auto"/>
      </w:divBdr>
    </w:div>
    <w:div w:id="522977800">
      <w:bodyDiv w:val="1"/>
      <w:marLeft w:val="0"/>
      <w:marRight w:val="0"/>
      <w:marTop w:val="0"/>
      <w:marBottom w:val="0"/>
      <w:divBdr>
        <w:top w:val="none" w:sz="0" w:space="0" w:color="auto"/>
        <w:left w:val="none" w:sz="0" w:space="0" w:color="auto"/>
        <w:bottom w:val="none" w:sz="0" w:space="0" w:color="auto"/>
        <w:right w:val="none" w:sz="0" w:space="0" w:color="auto"/>
      </w:divBdr>
    </w:div>
    <w:div w:id="581185068">
      <w:bodyDiv w:val="1"/>
      <w:marLeft w:val="0"/>
      <w:marRight w:val="0"/>
      <w:marTop w:val="0"/>
      <w:marBottom w:val="0"/>
      <w:divBdr>
        <w:top w:val="none" w:sz="0" w:space="0" w:color="auto"/>
        <w:left w:val="none" w:sz="0" w:space="0" w:color="auto"/>
        <w:bottom w:val="none" w:sz="0" w:space="0" w:color="auto"/>
        <w:right w:val="none" w:sz="0" w:space="0" w:color="auto"/>
      </w:divBdr>
    </w:div>
    <w:div w:id="752509834">
      <w:bodyDiv w:val="1"/>
      <w:marLeft w:val="0"/>
      <w:marRight w:val="0"/>
      <w:marTop w:val="0"/>
      <w:marBottom w:val="0"/>
      <w:divBdr>
        <w:top w:val="none" w:sz="0" w:space="0" w:color="auto"/>
        <w:left w:val="none" w:sz="0" w:space="0" w:color="auto"/>
        <w:bottom w:val="none" w:sz="0" w:space="0" w:color="auto"/>
        <w:right w:val="none" w:sz="0" w:space="0" w:color="auto"/>
      </w:divBdr>
    </w:div>
    <w:div w:id="906067833">
      <w:bodyDiv w:val="1"/>
      <w:marLeft w:val="0"/>
      <w:marRight w:val="0"/>
      <w:marTop w:val="0"/>
      <w:marBottom w:val="0"/>
      <w:divBdr>
        <w:top w:val="none" w:sz="0" w:space="0" w:color="auto"/>
        <w:left w:val="none" w:sz="0" w:space="0" w:color="auto"/>
        <w:bottom w:val="none" w:sz="0" w:space="0" w:color="auto"/>
        <w:right w:val="none" w:sz="0" w:space="0" w:color="auto"/>
      </w:divBdr>
    </w:div>
    <w:div w:id="1005061518">
      <w:bodyDiv w:val="1"/>
      <w:marLeft w:val="0"/>
      <w:marRight w:val="0"/>
      <w:marTop w:val="0"/>
      <w:marBottom w:val="0"/>
      <w:divBdr>
        <w:top w:val="none" w:sz="0" w:space="0" w:color="auto"/>
        <w:left w:val="none" w:sz="0" w:space="0" w:color="auto"/>
        <w:bottom w:val="none" w:sz="0" w:space="0" w:color="auto"/>
        <w:right w:val="none" w:sz="0" w:space="0" w:color="auto"/>
      </w:divBdr>
    </w:div>
    <w:div w:id="1019308126">
      <w:bodyDiv w:val="1"/>
      <w:marLeft w:val="0"/>
      <w:marRight w:val="0"/>
      <w:marTop w:val="0"/>
      <w:marBottom w:val="0"/>
      <w:divBdr>
        <w:top w:val="none" w:sz="0" w:space="0" w:color="auto"/>
        <w:left w:val="none" w:sz="0" w:space="0" w:color="auto"/>
        <w:bottom w:val="none" w:sz="0" w:space="0" w:color="auto"/>
        <w:right w:val="none" w:sz="0" w:space="0" w:color="auto"/>
      </w:divBdr>
    </w:div>
    <w:div w:id="1508134409">
      <w:bodyDiv w:val="1"/>
      <w:marLeft w:val="0"/>
      <w:marRight w:val="0"/>
      <w:marTop w:val="0"/>
      <w:marBottom w:val="0"/>
      <w:divBdr>
        <w:top w:val="none" w:sz="0" w:space="0" w:color="auto"/>
        <w:left w:val="none" w:sz="0" w:space="0" w:color="auto"/>
        <w:bottom w:val="none" w:sz="0" w:space="0" w:color="auto"/>
        <w:right w:val="none" w:sz="0" w:space="0" w:color="auto"/>
      </w:divBdr>
    </w:div>
    <w:div w:id="1517420772">
      <w:bodyDiv w:val="1"/>
      <w:marLeft w:val="0"/>
      <w:marRight w:val="0"/>
      <w:marTop w:val="0"/>
      <w:marBottom w:val="0"/>
      <w:divBdr>
        <w:top w:val="none" w:sz="0" w:space="0" w:color="auto"/>
        <w:left w:val="none" w:sz="0" w:space="0" w:color="auto"/>
        <w:bottom w:val="none" w:sz="0" w:space="0" w:color="auto"/>
        <w:right w:val="none" w:sz="0" w:space="0" w:color="auto"/>
      </w:divBdr>
    </w:div>
    <w:div w:id="1518736740">
      <w:bodyDiv w:val="1"/>
      <w:marLeft w:val="0"/>
      <w:marRight w:val="0"/>
      <w:marTop w:val="0"/>
      <w:marBottom w:val="0"/>
      <w:divBdr>
        <w:top w:val="none" w:sz="0" w:space="0" w:color="auto"/>
        <w:left w:val="none" w:sz="0" w:space="0" w:color="auto"/>
        <w:bottom w:val="none" w:sz="0" w:space="0" w:color="auto"/>
        <w:right w:val="none" w:sz="0" w:space="0" w:color="auto"/>
      </w:divBdr>
    </w:div>
    <w:div w:id="1533222571">
      <w:bodyDiv w:val="1"/>
      <w:marLeft w:val="0"/>
      <w:marRight w:val="0"/>
      <w:marTop w:val="0"/>
      <w:marBottom w:val="0"/>
      <w:divBdr>
        <w:top w:val="none" w:sz="0" w:space="0" w:color="auto"/>
        <w:left w:val="none" w:sz="0" w:space="0" w:color="auto"/>
        <w:bottom w:val="none" w:sz="0" w:space="0" w:color="auto"/>
        <w:right w:val="none" w:sz="0" w:space="0" w:color="auto"/>
      </w:divBdr>
    </w:div>
    <w:div w:id="1578779899">
      <w:bodyDiv w:val="1"/>
      <w:marLeft w:val="0"/>
      <w:marRight w:val="0"/>
      <w:marTop w:val="0"/>
      <w:marBottom w:val="0"/>
      <w:divBdr>
        <w:top w:val="none" w:sz="0" w:space="0" w:color="auto"/>
        <w:left w:val="none" w:sz="0" w:space="0" w:color="auto"/>
        <w:bottom w:val="none" w:sz="0" w:space="0" w:color="auto"/>
        <w:right w:val="none" w:sz="0" w:space="0" w:color="auto"/>
      </w:divBdr>
    </w:div>
    <w:div w:id="1749691397">
      <w:bodyDiv w:val="1"/>
      <w:marLeft w:val="0"/>
      <w:marRight w:val="0"/>
      <w:marTop w:val="0"/>
      <w:marBottom w:val="0"/>
      <w:divBdr>
        <w:top w:val="none" w:sz="0" w:space="0" w:color="auto"/>
        <w:left w:val="none" w:sz="0" w:space="0" w:color="auto"/>
        <w:bottom w:val="none" w:sz="0" w:space="0" w:color="auto"/>
        <w:right w:val="none" w:sz="0" w:space="0" w:color="auto"/>
      </w:divBdr>
    </w:div>
    <w:div w:id="1867594122">
      <w:bodyDiv w:val="1"/>
      <w:marLeft w:val="0"/>
      <w:marRight w:val="0"/>
      <w:marTop w:val="0"/>
      <w:marBottom w:val="0"/>
      <w:divBdr>
        <w:top w:val="none" w:sz="0" w:space="0" w:color="auto"/>
        <w:left w:val="none" w:sz="0" w:space="0" w:color="auto"/>
        <w:bottom w:val="none" w:sz="0" w:space="0" w:color="auto"/>
        <w:right w:val="none" w:sz="0" w:space="0" w:color="auto"/>
      </w:divBdr>
      <w:divsChild>
        <w:div w:id="304509309">
          <w:marLeft w:val="547"/>
          <w:marRight w:val="0"/>
          <w:marTop w:val="0"/>
          <w:marBottom w:val="120"/>
          <w:divBdr>
            <w:top w:val="none" w:sz="0" w:space="0" w:color="auto"/>
            <w:left w:val="none" w:sz="0" w:space="0" w:color="auto"/>
            <w:bottom w:val="none" w:sz="0" w:space="0" w:color="auto"/>
            <w:right w:val="none" w:sz="0" w:space="0" w:color="auto"/>
          </w:divBdr>
        </w:div>
        <w:div w:id="1404796427">
          <w:marLeft w:val="1166"/>
          <w:marRight w:val="0"/>
          <w:marTop w:val="0"/>
          <w:marBottom w:val="120"/>
          <w:divBdr>
            <w:top w:val="none" w:sz="0" w:space="0" w:color="auto"/>
            <w:left w:val="none" w:sz="0" w:space="0" w:color="auto"/>
            <w:bottom w:val="none" w:sz="0" w:space="0" w:color="auto"/>
            <w:right w:val="none" w:sz="0" w:space="0" w:color="auto"/>
          </w:divBdr>
        </w:div>
        <w:div w:id="368337261">
          <w:marLeft w:val="1166"/>
          <w:marRight w:val="0"/>
          <w:marTop w:val="0"/>
          <w:marBottom w:val="120"/>
          <w:divBdr>
            <w:top w:val="none" w:sz="0" w:space="0" w:color="auto"/>
            <w:left w:val="none" w:sz="0" w:space="0" w:color="auto"/>
            <w:bottom w:val="none" w:sz="0" w:space="0" w:color="auto"/>
            <w:right w:val="none" w:sz="0" w:space="0" w:color="auto"/>
          </w:divBdr>
        </w:div>
        <w:div w:id="510414469">
          <w:marLeft w:val="547"/>
          <w:marRight w:val="0"/>
          <w:marTop w:val="0"/>
          <w:marBottom w:val="120"/>
          <w:divBdr>
            <w:top w:val="none" w:sz="0" w:space="0" w:color="auto"/>
            <w:left w:val="none" w:sz="0" w:space="0" w:color="auto"/>
            <w:bottom w:val="none" w:sz="0" w:space="0" w:color="auto"/>
            <w:right w:val="none" w:sz="0" w:space="0" w:color="auto"/>
          </w:divBdr>
        </w:div>
        <w:div w:id="330448701">
          <w:marLeft w:val="1166"/>
          <w:marRight w:val="0"/>
          <w:marTop w:val="0"/>
          <w:marBottom w:val="120"/>
          <w:divBdr>
            <w:top w:val="none" w:sz="0" w:space="0" w:color="auto"/>
            <w:left w:val="none" w:sz="0" w:space="0" w:color="auto"/>
            <w:bottom w:val="none" w:sz="0" w:space="0" w:color="auto"/>
            <w:right w:val="none" w:sz="0" w:space="0" w:color="auto"/>
          </w:divBdr>
        </w:div>
        <w:div w:id="908613117">
          <w:marLeft w:val="1166"/>
          <w:marRight w:val="0"/>
          <w:marTop w:val="0"/>
          <w:marBottom w:val="120"/>
          <w:divBdr>
            <w:top w:val="none" w:sz="0" w:space="0" w:color="auto"/>
            <w:left w:val="none" w:sz="0" w:space="0" w:color="auto"/>
            <w:bottom w:val="none" w:sz="0" w:space="0" w:color="auto"/>
            <w:right w:val="none" w:sz="0" w:space="0" w:color="auto"/>
          </w:divBdr>
        </w:div>
      </w:divsChild>
    </w:div>
    <w:div w:id="1940023994">
      <w:bodyDiv w:val="1"/>
      <w:marLeft w:val="0"/>
      <w:marRight w:val="0"/>
      <w:marTop w:val="0"/>
      <w:marBottom w:val="0"/>
      <w:divBdr>
        <w:top w:val="none" w:sz="0" w:space="0" w:color="auto"/>
        <w:left w:val="none" w:sz="0" w:space="0" w:color="auto"/>
        <w:bottom w:val="none" w:sz="0" w:space="0" w:color="auto"/>
        <w:right w:val="none" w:sz="0" w:space="0" w:color="auto"/>
      </w:divBdr>
    </w:div>
    <w:div w:id="2113626169">
      <w:bodyDiv w:val="1"/>
      <w:marLeft w:val="0"/>
      <w:marRight w:val="0"/>
      <w:marTop w:val="0"/>
      <w:marBottom w:val="0"/>
      <w:divBdr>
        <w:top w:val="none" w:sz="0" w:space="0" w:color="auto"/>
        <w:left w:val="none" w:sz="0" w:space="0" w:color="auto"/>
        <w:bottom w:val="none" w:sz="0" w:space="0" w:color="auto"/>
        <w:right w:val="none" w:sz="0" w:space="0" w:color="auto"/>
      </w:divBdr>
    </w:div>
    <w:div w:id="2146852153">
      <w:bodyDiv w:val="1"/>
      <w:marLeft w:val="0"/>
      <w:marRight w:val="0"/>
      <w:marTop w:val="0"/>
      <w:marBottom w:val="0"/>
      <w:divBdr>
        <w:top w:val="none" w:sz="0" w:space="0" w:color="auto"/>
        <w:left w:val="none" w:sz="0" w:space="0" w:color="auto"/>
        <w:bottom w:val="none" w:sz="0" w:space="0" w:color="auto"/>
        <w:right w:val="none" w:sz="0" w:space="0" w:color="auto"/>
      </w:divBdr>
      <w:divsChild>
        <w:div w:id="1426150587">
          <w:marLeft w:val="547"/>
          <w:marRight w:val="0"/>
          <w:marTop w:val="0"/>
          <w:marBottom w:val="120"/>
          <w:divBdr>
            <w:top w:val="none" w:sz="0" w:space="0" w:color="auto"/>
            <w:left w:val="none" w:sz="0" w:space="0" w:color="auto"/>
            <w:bottom w:val="none" w:sz="0" w:space="0" w:color="auto"/>
            <w:right w:val="none" w:sz="0" w:space="0" w:color="auto"/>
          </w:divBdr>
        </w:div>
        <w:div w:id="1422528240">
          <w:marLeft w:val="547"/>
          <w:marRight w:val="0"/>
          <w:marTop w:val="0"/>
          <w:marBottom w:val="120"/>
          <w:divBdr>
            <w:top w:val="none" w:sz="0" w:space="0" w:color="auto"/>
            <w:left w:val="none" w:sz="0" w:space="0" w:color="auto"/>
            <w:bottom w:val="none" w:sz="0" w:space="0" w:color="auto"/>
            <w:right w:val="none" w:sz="0" w:space="0" w:color="auto"/>
          </w:divBdr>
        </w:div>
        <w:div w:id="701244817">
          <w:marLeft w:val="547"/>
          <w:marRight w:val="0"/>
          <w:marTop w:val="0"/>
          <w:marBottom w:val="120"/>
          <w:divBdr>
            <w:top w:val="none" w:sz="0" w:space="0" w:color="auto"/>
            <w:left w:val="none" w:sz="0" w:space="0" w:color="auto"/>
            <w:bottom w:val="none" w:sz="0" w:space="0" w:color="auto"/>
            <w:right w:val="none" w:sz="0" w:space="0" w:color="auto"/>
          </w:divBdr>
        </w:div>
        <w:div w:id="2103456218">
          <w:marLeft w:val="547"/>
          <w:marRight w:val="0"/>
          <w:marTop w:val="0"/>
          <w:marBottom w:val="120"/>
          <w:divBdr>
            <w:top w:val="none" w:sz="0" w:space="0" w:color="auto"/>
            <w:left w:val="none" w:sz="0" w:space="0" w:color="auto"/>
            <w:bottom w:val="none" w:sz="0" w:space="0" w:color="auto"/>
            <w:right w:val="none" w:sz="0" w:space="0" w:color="auto"/>
          </w:divBdr>
        </w:div>
        <w:div w:id="1324745434">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8b/Inbox/Chair_notes/Chair%20notes%20RAN1%23118bis%20eom0.zip"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Generation%20X+%20Research%20and%20Standardization%20Program%20(GX+)%20-%20RAN4%20SCG\RAN4%20meetings\RAN4%20114%20-%20Athens\!Templates\TDoc_Template_RAN4%23114-ful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RBI5PAMIO524-1616901215-40570</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https://nokia.sharepoint.com/sites/gxp/_layouts/15/DocIdRedir.aspx?ID=RBI5PAMIO524-1616901215-40570</Url>
      <Description>RBI5PAMIO524-1616901215-40570</Description>
    </_dlc_DocIdUrl>
    <Comments xmlns="3f2ce089-3858-4176-9a21-a30f9204848e">OK</Comments>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32315865-5867-4F12-89CB-AABA35237BE6}">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TDoc_Template_RAN4#114-full</Template>
  <TotalTime>1</TotalTime>
  <Pages>5</Pages>
  <Words>2289</Words>
  <Characters>13050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Rafhael Medeiros de Amorim (Nokia)</dc:creator>
  <cp:keywords/>
  <dc:description/>
  <cp:lastModifiedBy>Rafhael Medeiros de Amorim (Nokia)</cp:lastModifiedBy>
  <cp:revision>2</cp:revision>
  <dcterms:created xsi:type="dcterms:W3CDTF">2025-02-07T15:43:00Z</dcterms:created>
  <dcterms:modified xsi:type="dcterms:W3CDTF">2025-02-07T15:43:00Z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6a5793d3-46b7-4963-950a-5dc9eaf40508</vt:lpwstr>
  </property>
</Properties>
</file>